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黑体" w:hAnsi="宋体" w:eastAsia="黑体"/>
          <w:b/>
          <w:kern w:val="0"/>
          <w:sz w:val="72"/>
          <w:szCs w:val="72"/>
        </w:rPr>
      </w:pPr>
      <w:r>
        <w:rPr>
          <w:rFonts w:hint="eastAsia" w:ascii="黑体" w:hAnsi="宋体" w:eastAsia="黑体"/>
          <w:b/>
          <w:kern w:val="0"/>
          <w:sz w:val="72"/>
          <w:szCs w:val="72"/>
        </w:rPr>
        <w:t>勘察招标文件</w:t>
      </w:r>
    </w:p>
    <w:p>
      <w:pPr>
        <w:adjustRightInd w:val="0"/>
        <w:snapToGrid w:val="0"/>
        <w:spacing w:line="360" w:lineRule="auto"/>
        <w:jc w:val="center"/>
        <w:rPr>
          <w:rFonts w:ascii="黑体" w:hAnsi="宋体" w:eastAsia="黑体"/>
          <w:b/>
          <w:kern w:val="0"/>
          <w:sz w:val="28"/>
          <w:szCs w:val="72"/>
        </w:rPr>
      </w:pPr>
      <w:r>
        <w:rPr>
          <w:rFonts w:hint="eastAsia" w:ascii="黑体" w:hAnsi="宋体" w:eastAsia="黑体"/>
          <w:b/>
          <w:kern w:val="0"/>
          <w:sz w:val="28"/>
          <w:szCs w:val="72"/>
        </w:rPr>
        <w:t>招标编号：201</w:t>
      </w:r>
      <w:r>
        <w:rPr>
          <w:rFonts w:hint="eastAsia" w:ascii="黑体" w:hAnsi="宋体" w:eastAsia="黑体"/>
          <w:b/>
          <w:kern w:val="0"/>
          <w:sz w:val="28"/>
          <w:szCs w:val="72"/>
          <w:lang w:val="en-US" w:eastAsia="zh-CN"/>
        </w:rPr>
        <w:t>7</w:t>
      </w:r>
      <w:r>
        <w:rPr>
          <w:rFonts w:hint="eastAsia" w:ascii="黑体" w:hAnsi="宋体" w:eastAsia="黑体"/>
          <w:b/>
          <w:kern w:val="0"/>
          <w:sz w:val="28"/>
          <w:szCs w:val="72"/>
        </w:rPr>
        <w:t>-SZBY-</w:t>
      </w:r>
      <w:r>
        <w:rPr>
          <w:rFonts w:hint="eastAsia" w:ascii="黑体" w:hAnsi="宋体" w:eastAsia="黑体"/>
          <w:b/>
          <w:kern w:val="0"/>
          <w:sz w:val="28"/>
          <w:szCs w:val="72"/>
          <w:lang w:val="en-US" w:eastAsia="zh-CN"/>
        </w:rPr>
        <w:t>02</w:t>
      </w:r>
    </w:p>
    <w:p>
      <w:pPr>
        <w:adjustRightInd w:val="0"/>
        <w:snapToGrid w:val="0"/>
        <w:spacing w:line="360" w:lineRule="auto"/>
        <w:jc w:val="center"/>
        <w:rPr>
          <w:rFonts w:ascii="黑体" w:hAnsi="宋体" w:eastAsia="黑体"/>
          <w:b/>
          <w:kern w:val="0"/>
          <w:sz w:val="72"/>
          <w:szCs w:val="72"/>
        </w:rPr>
      </w:pPr>
    </w:p>
    <w:p>
      <w:pPr>
        <w:adjustRightInd w:val="0"/>
        <w:snapToGrid w:val="0"/>
        <w:spacing w:line="360" w:lineRule="auto"/>
        <w:jc w:val="center"/>
        <w:rPr>
          <w:rFonts w:ascii="黑体" w:hAnsi="宋体" w:eastAsia="黑体"/>
          <w:b/>
          <w:kern w:val="0"/>
          <w:sz w:val="72"/>
          <w:szCs w:val="72"/>
        </w:rPr>
      </w:pPr>
    </w:p>
    <w:p>
      <w:pPr>
        <w:adjustRightInd w:val="0"/>
        <w:snapToGrid w:val="0"/>
        <w:spacing w:line="360" w:lineRule="auto"/>
        <w:ind w:firstLine="640" w:firstLineChars="200"/>
        <w:jc w:val="left"/>
        <w:rPr>
          <w:rFonts w:ascii="宋体" w:hAnsi="宋体"/>
          <w:kern w:val="0"/>
          <w:sz w:val="32"/>
          <w:szCs w:val="32"/>
        </w:rPr>
      </w:pPr>
      <w:r>
        <w:rPr>
          <w:rFonts w:hint="eastAsia" w:ascii="宋体" w:hAnsi="宋体"/>
          <w:kern w:val="0"/>
          <w:sz w:val="32"/>
          <w:szCs w:val="32"/>
        </w:rPr>
        <w:t>工程名称：</w:t>
      </w:r>
      <w:r>
        <w:rPr>
          <w:rFonts w:hint="eastAsia" w:ascii="宋体" w:hAnsi="宋体"/>
          <w:kern w:val="0"/>
          <w:sz w:val="32"/>
          <w:szCs w:val="32"/>
          <w:u w:val="single"/>
        </w:rPr>
        <w:t>深圳北邮科技大厦工程（勘察）</w:t>
      </w:r>
      <w:r>
        <w:rPr>
          <w:rFonts w:ascii="宋体" w:hAnsi="宋体"/>
          <w:kern w:val="0"/>
          <w:sz w:val="32"/>
          <w:szCs w:val="32"/>
          <w:u w:val="single"/>
        </w:rPr>
        <w:t xml:space="preserve"> </w:t>
      </w:r>
    </w:p>
    <w:p>
      <w:pPr>
        <w:adjustRightInd w:val="0"/>
        <w:snapToGrid w:val="0"/>
        <w:spacing w:line="360" w:lineRule="auto"/>
        <w:ind w:firstLine="640" w:firstLineChars="200"/>
        <w:jc w:val="left"/>
        <w:rPr>
          <w:rFonts w:ascii="宋体" w:hAnsi="宋体"/>
          <w:kern w:val="0"/>
          <w:sz w:val="32"/>
          <w:szCs w:val="32"/>
        </w:rPr>
      </w:pPr>
      <w:r>
        <w:rPr>
          <w:rFonts w:hint="eastAsia" w:ascii="宋体" w:hAnsi="宋体"/>
          <w:kern w:val="0"/>
          <w:sz w:val="32"/>
          <w:szCs w:val="32"/>
        </w:rPr>
        <w:t>招 标 人：</w:t>
      </w:r>
      <w:r>
        <w:rPr>
          <w:rFonts w:hint="eastAsia" w:ascii="宋体" w:hAnsi="宋体"/>
          <w:kern w:val="0"/>
          <w:sz w:val="32"/>
          <w:szCs w:val="32"/>
          <w:u w:val="single"/>
        </w:rPr>
        <w:t>深圳北邮网络科技有限公司</w:t>
      </w:r>
    </w:p>
    <w:p>
      <w:pPr>
        <w:adjustRightInd w:val="0"/>
        <w:snapToGrid w:val="0"/>
        <w:spacing w:line="360" w:lineRule="auto"/>
        <w:ind w:firstLine="640" w:firstLineChars="200"/>
        <w:jc w:val="left"/>
        <w:rPr>
          <w:rFonts w:ascii="宋体" w:hAnsi="宋体"/>
          <w:kern w:val="0"/>
          <w:sz w:val="32"/>
          <w:szCs w:val="32"/>
        </w:rPr>
      </w:pPr>
      <w:r>
        <w:rPr>
          <w:rFonts w:hint="eastAsia" w:ascii="宋体" w:hAnsi="宋体"/>
          <w:kern w:val="0"/>
          <w:sz w:val="32"/>
          <w:szCs w:val="32"/>
        </w:rPr>
        <w:t>法定代表人或授权委托人：</w:t>
      </w:r>
      <w:r>
        <w:rPr>
          <w:rFonts w:hint="eastAsia" w:ascii="宋体" w:hAnsi="宋体"/>
          <w:kern w:val="0"/>
          <w:sz w:val="32"/>
          <w:szCs w:val="32"/>
          <w:u w:val="single"/>
        </w:rPr>
        <w:t>张立华</w:t>
      </w:r>
    </w:p>
    <w:p>
      <w:pPr>
        <w:tabs>
          <w:tab w:val="center" w:pos="4592"/>
          <w:tab w:val="left" w:pos="6181"/>
        </w:tabs>
        <w:ind w:firstLine="640" w:firstLineChars="200"/>
        <w:jc w:val="left"/>
        <w:rPr>
          <w:rFonts w:ascii="宋体" w:hAnsi="宋体"/>
          <w:b/>
          <w:sz w:val="28"/>
          <w:szCs w:val="28"/>
        </w:rPr>
      </w:pPr>
    </w:p>
    <w:p>
      <w:pPr>
        <w:tabs>
          <w:tab w:val="center" w:pos="4592"/>
          <w:tab w:val="left" w:pos="6181"/>
        </w:tabs>
        <w:ind w:firstLine="640" w:firstLineChars="200"/>
        <w:jc w:val="left"/>
        <w:rPr>
          <w:rFonts w:ascii="宋体" w:hAnsi="宋体"/>
          <w:b/>
          <w:sz w:val="28"/>
          <w:szCs w:val="28"/>
        </w:rPr>
      </w:pPr>
    </w:p>
    <w:p>
      <w:pPr>
        <w:tabs>
          <w:tab w:val="center" w:pos="4592"/>
          <w:tab w:val="left" w:pos="6181"/>
        </w:tabs>
        <w:ind w:firstLine="640" w:firstLineChars="200"/>
        <w:jc w:val="left"/>
        <w:rPr>
          <w:rFonts w:ascii="宋体" w:hAnsi="宋体"/>
          <w:b/>
          <w:sz w:val="28"/>
          <w:szCs w:val="28"/>
        </w:rPr>
      </w:pPr>
    </w:p>
    <w:p>
      <w:pPr>
        <w:tabs>
          <w:tab w:val="center" w:pos="4592"/>
          <w:tab w:val="left" w:pos="6181"/>
        </w:tabs>
        <w:ind w:firstLine="640" w:firstLineChars="200"/>
        <w:jc w:val="left"/>
        <w:rPr>
          <w:rFonts w:ascii="宋体" w:hAnsi="宋体"/>
          <w:b/>
          <w:sz w:val="28"/>
          <w:szCs w:val="28"/>
        </w:rPr>
      </w:pPr>
    </w:p>
    <w:p>
      <w:pPr>
        <w:tabs>
          <w:tab w:val="center" w:pos="4592"/>
          <w:tab w:val="left" w:pos="6181"/>
        </w:tabs>
        <w:ind w:firstLine="640" w:firstLineChars="200"/>
        <w:jc w:val="left"/>
        <w:rPr>
          <w:rFonts w:ascii="宋体" w:hAnsi="宋体"/>
          <w:b/>
          <w:sz w:val="28"/>
          <w:szCs w:val="28"/>
        </w:rPr>
      </w:pPr>
    </w:p>
    <w:p>
      <w:pPr>
        <w:tabs>
          <w:tab w:val="center" w:pos="4592"/>
          <w:tab w:val="left" w:pos="6181"/>
        </w:tabs>
        <w:ind w:firstLine="640" w:firstLineChars="200"/>
        <w:jc w:val="left"/>
        <w:rPr>
          <w:rFonts w:ascii="宋体" w:hAnsi="宋体"/>
          <w:b/>
          <w:sz w:val="28"/>
          <w:szCs w:val="28"/>
        </w:rPr>
      </w:pPr>
    </w:p>
    <w:p>
      <w:pPr>
        <w:tabs>
          <w:tab w:val="center" w:pos="4592"/>
          <w:tab w:val="left" w:pos="6181"/>
        </w:tabs>
        <w:ind w:firstLine="640" w:firstLineChars="200"/>
        <w:jc w:val="left"/>
        <w:rPr>
          <w:rFonts w:ascii="宋体" w:hAnsi="宋体"/>
          <w:b/>
          <w:sz w:val="28"/>
          <w:szCs w:val="28"/>
        </w:rPr>
      </w:pPr>
    </w:p>
    <w:p>
      <w:pPr>
        <w:tabs>
          <w:tab w:val="center" w:pos="4592"/>
          <w:tab w:val="left" w:pos="6181"/>
        </w:tabs>
        <w:ind w:firstLine="640" w:firstLineChars="200"/>
        <w:jc w:val="left"/>
        <w:rPr>
          <w:rFonts w:ascii="宋体" w:hAnsi="宋体"/>
          <w:b/>
          <w:sz w:val="28"/>
          <w:szCs w:val="28"/>
        </w:rPr>
      </w:pPr>
    </w:p>
    <w:p>
      <w:pPr>
        <w:tabs>
          <w:tab w:val="center" w:pos="4592"/>
          <w:tab w:val="left" w:pos="6181"/>
        </w:tabs>
        <w:ind w:firstLine="640" w:firstLineChars="200"/>
        <w:jc w:val="left"/>
        <w:rPr>
          <w:rFonts w:ascii="宋体" w:hAnsi="宋体"/>
          <w:b/>
          <w:sz w:val="28"/>
          <w:szCs w:val="28"/>
        </w:rPr>
      </w:pPr>
      <w:r>
        <w:rPr>
          <w:rFonts w:ascii="宋体" w:hAnsi="宋体"/>
          <w:b/>
          <w:sz w:val="28"/>
          <w:szCs w:val="28"/>
        </w:rPr>
        <w:tab/>
      </w:r>
    </w:p>
    <w:p>
      <w:pPr>
        <w:jc w:val="center"/>
      </w:pPr>
    </w:p>
    <w:p>
      <w:pPr>
        <w:pStyle w:val="2"/>
        <w:jc w:val="center"/>
      </w:pPr>
    </w:p>
    <w:p>
      <w:pPr>
        <w:pStyle w:val="2"/>
        <w:jc w:val="center"/>
      </w:pPr>
      <w:bookmarkStart w:id="0" w:name="_Toc457481142"/>
      <w:r>
        <w:rPr>
          <w:rFonts w:hint="eastAsia"/>
        </w:rPr>
        <w:t>目录</w:t>
      </w:r>
      <w:bookmarkEnd w:id="0"/>
    </w:p>
    <w:p>
      <w:pPr>
        <w:pStyle w:val="16"/>
        <w:tabs>
          <w:tab w:val="right" w:leader="dot" w:pos="9174"/>
        </w:tabs>
        <w:rPr>
          <w:rFonts w:hint="eastAsia" w:asciiTheme="minorEastAsia" w:hAnsiTheme="minorEastAsia" w:eastAsiaTheme="minorEastAsia" w:cstheme="minorEastAsia"/>
          <w:sz w:val="24"/>
        </w:rPr>
      </w:pPr>
      <w:r>
        <w:rPr>
          <w:rFonts w:hint="eastAsia"/>
          <w:sz w:val="40"/>
          <w:szCs w:val="40"/>
        </w:rPr>
        <w:fldChar w:fldCharType="begin"/>
      </w:r>
      <w:r>
        <w:rPr>
          <w:rFonts w:hint="eastAsia"/>
          <w:sz w:val="40"/>
          <w:szCs w:val="40"/>
        </w:rPr>
        <w:instrText xml:space="preserve">TOC \o "1-3" \h \u </w:instrText>
      </w:r>
      <w:r>
        <w:rPr>
          <w:rFonts w:hint="eastAsia"/>
          <w:sz w:val="40"/>
          <w:szCs w:val="40"/>
        </w:rPr>
        <w:fldChar w:fldCharType="separate"/>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"_Toc457481142"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目录</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_Toc457481142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2</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6"/>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"_Toc457481143"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第一部分  招标公告</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_Toc457481143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4</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6"/>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"_Toc457481144"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第二部分  投标须知</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_Toc457481144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6"/>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"_Toc457481145"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投标文件的编制要求</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_Toc457481145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"_Toc457481146"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1. 要求</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_Toc457481146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"_Toc457481147"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2．投标文件构成</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_Toc457481147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"_Toc457481148"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3．投标文件格式</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_Toc457481148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8</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"_Toc457481149"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4．投标报价</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_Toc457481149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8</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"_Toc457481150"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5．投标货币</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_Toc457481150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8</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"_Toc457481151"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6. 投标文件的递交</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_Toc457481151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8</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"_Toc457481152"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7．证明投标人合格和资格的文件</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_Toc457481152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9</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6"/>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"_Toc457481153"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第二章  评标方法</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_Toc457481153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10</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"_Toc457481154"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1评标委员会</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_Toc457481154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10</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"_Toc457481155"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2投标文件的初审</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_Toc457481155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10</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"_Toc457481156"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3投标文件的澄清</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_Toc457481156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11</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"_Toc457481157"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4定标原则</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_Toc457481157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11</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"_Toc457481158"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5评标方法</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_Toc457481158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12</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"_Toc457481159"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6评标结果公示</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_Toc457481159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13</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"_Toc457481160"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7《中标通知书》及《评标结果通知书》的发放</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_Toc457481160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13</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6"/>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"_Toc457481161"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第三部分 勘察任务书及要求</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_Toc457481161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14</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6"/>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"_Toc457481162"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第四部分  投标文件格式</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_Toc457481162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15</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"_Toc457481163"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一、投标书</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_Toc457481163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15</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"_Toc457481164"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二、投标报价一览表</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_Toc457481164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18</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0"/>
        <w:tabs>
          <w:tab w:val="right" w:leader="dot" w:pos="9174"/>
        </w:tabs>
        <w:ind w:left="0" w:leftChars="0" w:firstLine="480" w:firstLineChars="15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"_Toc457481165"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b/>
          <w:sz w:val="32"/>
        </w:rPr>
        <w:t>三、</w:t>
      </w:r>
      <w:r>
        <w:rPr>
          <w:rStyle w:val="24"/>
          <w:rFonts w:hint="eastAsia" w:asciiTheme="minorEastAsia" w:hAnsiTheme="minorEastAsia" w:eastAsiaTheme="minorEastAsia" w:cstheme="minorEastAsia"/>
          <w:b w:val="0"/>
          <w:bCs/>
          <w:sz w:val="32"/>
        </w:rPr>
        <w:t>法定代表人资格证明书和法定代表人授权委托书</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_Toc457481165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19</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"_Toc457481166"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四、资格审查文件</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_Toc457481166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21</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"_Toc457481167"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五、</w:t>
      </w:r>
      <w:r>
        <w:rPr>
          <w:rStyle w:val="24"/>
          <w:rFonts w:hint="eastAsia" w:asciiTheme="minorEastAsia" w:hAnsiTheme="minorEastAsia" w:eastAsiaTheme="minorEastAsia" w:cstheme="minorEastAsia"/>
          <w:sz w:val="32"/>
          <w:lang w:eastAsia="zh-CN"/>
        </w:rPr>
        <w:t>第三方监测及主体沉降观测</w:t>
      </w:r>
      <w:r>
        <w:rPr>
          <w:rStyle w:val="24"/>
          <w:rFonts w:hint="eastAsia" w:asciiTheme="minorEastAsia" w:hAnsiTheme="minorEastAsia" w:eastAsiaTheme="minorEastAsia" w:cstheme="minorEastAsia"/>
          <w:sz w:val="32"/>
        </w:rPr>
        <w:t>技术方案及服务方案</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_Toc457481167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22</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"_Toc457481168"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六、</w:t>
      </w:r>
      <w:r>
        <w:rPr>
          <w:rStyle w:val="24"/>
          <w:rFonts w:hint="eastAsia" w:asciiTheme="minorEastAsia" w:hAnsiTheme="minorEastAsia" w:eastAsiaTheme="minorEastAsia" w:cstheme="minorEastAsia"/>
          <w:sz w:val="32"/>
          <w:lang w:eastAsia="zh-CN"/>
        </w:rPr>
        <w:t>第三方监测及主体沉降观测</w:t>
      </w:r>
      <w:r>
        <w:rPr>
          <w:rStyle w:val="24"/>
          <w:rFonts w:hint="eastAsia" w:asciiTheme="minorEastAsia" w:hAnsiTheme="minorEastAsia" w:eastAsiaTheme="minorEastAsia" w:cstheme="minorEastAsia"/>
          <w:sz w:val="32"/>
        </w:rPr>
        <w:t>业绩汇总表格式</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_Toc457481168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23</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20"/>
        <w:tabs>
          <w:tab w:val="right" w:leader="dot" w:pos="9174"/>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"_Toc457481169"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七、投标人认为需提供的其他有关文件</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_Toc457481169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24</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pStyle w:val="16"/>
        <w:tabs>
          <w:tab w:val="right" w:leader="dot" w:pos="9174"/>
        </w:tabs>
        <w:rPr>
          <w:rFonts w:asciiTheme="minorHAnsi" w:hAnsiTheme="minorHAnsi" w:eastAsiaTheme="minorEastAsia" w:cstheme="minorBidi"/>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"_Toc457481170" </w:instrText>
      </w:r>
      <w:r>
        <w:rPr>
          <w:rFonts w:hint="eastAsia" w:asciiTheme="minorEastAsia" w:hAnsiTheme="minorEastAsia" w:eastAsiaTheme="minorEastAsia" w:cstheme="minorEastAsia"/>
        </w:rPr>
        <w:fldChar w:fldCharType="separate"/>
      </w:r>
      <w:r>
        <w:rPr>
          <w:rStyle w:val="24"/>
          <w:rFonts w:hint="eastAsia" w:asciiTheme="minorEastAsia" w:hAnsiTheme="minorEastAsia" w:eastAsiaTheme="minorEastAsia" w:cstheme="minorEastAsia"/>
          <w:sz w:val="32"/>
        </w:rPr>
        <w:t>第五部分 合同文件</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PAGEREF _Toc457481170 \h </w:instrText>
      </w:r>
      <w:r>
        <w:rPr>
          <w:rFonts w:hint="eastAsia" w:asciiTheme="minorEastAsia" w:hAnsiTheme="minorEastAsia" w:eastAsiaTheme="minorEastAsia" w:cstheme="minorEastAsia"/>
          <w:sz w:val="24"/>
        </w:rPr>
        <w:fldChar w:fldCharType="separate"/>
      </w:r>
      <w:r>
        <w:rPr>
          <w:rFonts w:hint="eastAsia" w:asciiTheme="minorEastAsia" w:hAnsiTheme="minorEastAsia" w:eastAsiaTheme="minorEastAsia" w:cstheme="minorEastAsia"/>
          <w:sz w:val="24"/>
        </w:rPr>
        <w:t>26</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fldChar w:fldCharType="end"/>
      </w:r>
    </w:p>
    <w:p>
      <w:pPr>
        <w:rPr>
          <w:sz w:val="52"/>
          <w:szCs w:val="56"/>
        </w:rPr>
      </w:pPr>
      <w:r>
        <w:rPr>
          <w:rFonts w:hint="eastAsia"/>
          <w:sz w:val="28"/>
          <w:szCs w:val="40"/>
        </w:rPr>
        <w:fldChar w:fldCharType="end"/>
      </w:r>
    </w:p>
    <w:p>
      <w:pPr>
        <w:rPr>
          <w:sz w:val="52"/>
          <w:szCs w:val="56"/>
        </w:rPr>
      </w:pPr>
    </w:p>
    <w:p>
      <w:pPr>
        <w:rPr>
          <w:sz w:val="52"/>
          <w:szCs w:val="56"/>
        </w:rPr>
      </w:pPr>
    </w:p>
    <w:p>
      <w:pPr>
        <w:rPr>
          <w:sz w:val="52"/>
          <w:szCs w:val="56"/>
        </w:rPr>
      </w:pPr>
    </w:p>
    <w:p>
      <w:pPr>
        <w:pStyle w:val="2"/>
        <w:rPr>
          <w:sz w:val="144"/>
          <w:szCs w:val="44"/>
        </w:rPr>
      </w:pPr>
    </w:p>
    <w:p>
      <w:pPr>
        <w:rPr>
          <w:sz w:val="28"/>
          <w:szCs w:val="32"/>
        </w:rPr>
      </w:pPr>
    </w:p>
    <w:p/>
    <w:p/>
    <w:p>
      <w:pPr>
        <w:pStyle w:val="2"/>
        <w:jc w:val="center"/>
        <w:rPr>
          <w:rFonts w:hint="eastAsia"/>
        </w:rPr>
      </w:pPr>
      <w:bookmarkStart w:id="1" w:name="_Toc457481143"/>
    </w:p>
    <w:p>
      <w:pPr>
        <w:pStyle w:val="2"/>
        <w:jc w:val="center"/>
      </w:pPr>
      <w:r>
        <w:rPr>
          <w:rFonts w:hint="eastAsia"/>
        </w:rPr>
        <w:t>第一部分  招标公告</w:t>
      </w:r>
      <w:bookmarkEnd w:id="1"/>
    </w:p>
    <w:p>
      <w:pPr>
        <w:spacing w:line="480" w:lineRule="exact"/>
        <w:ind w:firstLine="480" w:firstLineChars="200"/>
        <w:rPr>
          <w:sz w:val="24"/>
          <w:szCs w:val="24"/>
        </w:rPr>
      </w:pPr>
      <w:r>
        <w:rPr>
          <w:rFonts w:hint="eastAsia"/>
          <w:sz w:val="24"/>
          <w:szCs w:val="24"/>
          <w:u w:val="none"/>
        </w:rPr>
        <w:t>经北京邮电大学批准，深圳北邮网络科技有限公司就“深圳北邮科技大厦项目工程</w:t>
      </w:r>
      <w:r>
        <w:rPr>
          <w:rFonts w:ascii="宋体" w:hAnsi="宋体"/>
          <w:kern w:val="0"/>
          <w:sz w:val="24"/>
          <w:szCs w:val="24"/>
          <w:u w:val="none"/>
        </w:rPr>
        <w:t>第三方监测及主体沉降观测</w:t>
      </w:r>
      <w:r>
        <w:rPr>
          <w:rFonts w:hint="eastAsia"/>
          <w:sz w:val="24"/>
          <w:szCs w:val="24"/>
          <w:u w:val="none"/>
        </w:rPr>
        <w:t>”进行国内公开招标，欢迎符合法定条件、诚实守信、资质较高的</w:t>
      </w:r>
      <w:r>
        <w:rPr>
          <w:rFonts w:ascii="宋体" w:hAnsi="宋体"/>
          <w:kern w:val="0"/>
          <w:sz w:val="24"/>
          <w:szCs w:val="24"/>
          <w:u w:val="none"/>
        </w:rPr>
        <w:t>具有</w:t>
      </w:r>
      <w:r>
        <w:rPr>
          <w:rFonts w:hint="eastAsia" w:ascii="宋体" w:hAnsi="宋体"/>
          <w:kern w:val="0"/>
          <w:sz w:val="24"/>
          <w:szCs w:val="24"/>
          <w:u w:val="none"/>
          <w:lang w:eastAsia="zh-CN"/>
        </w:rPr>
        <w:t>第三方监测及主体沉降观测</w:t>
      </w:r>
      <w:r>
        <w:rPr>
          <w:rFonts w:ascii="宋体" w:hAnsi="宋体"/>
          <w:kern w:val="0"/>
          <w:sz w:val="24"/>
          <w:szCs w:val="24"/>
          <w:u w:val="none"/>
        </w:rPr>
        <w:t>综合类甲级或</w:t>
      </w:r>
      <w:r>
        <w:rPr>
          <w:rFonts w:hint="eastAsia" w:ascii="宋体" w:hAnsi="宋体"/>
          <w:kern w:val="0"/>
          <w:sz w:val="24"/>
          <w:szCs w:val="24"/>
          <w:u w:val="none"/>
          <w:lang w:eastAsia="zh-CN"/>
        </w:rPr>
        <w:t>第三方监测及主体沉降观测</w:t>
      </w:r>
      <w:r>
        <w:rPr>
          <w:rFonts w:ascii="宋体" w:hAnsi="宋体"/>
          <w:kern w:val="0"/>
          <w:sz w:val="24"/>
          <w:szCs w:val="24"/>
          <w:u w:val="none"/>
        </w:rPr>
        <w:t>专业类（工程测量、岩土工程（含监测））甲级及以上资质</w:t>
      </w:r>
      <w:r>
        <w:rPr>
          <w:rFonts w:hint="eastAsia" w:ascii="宋体" w:hAnsi="宋体"/>
          <w:kern w:val="0"/>
          <w:sz w:val="24"/>
          <w:szCs w:val="24"/>
          <w:u w:val="none"/>
          <w:lang w:eastAsia="zh-CN"/>
        </w:rPr>
        <w:t>来</w:t>
      </w:r>
      <w:r>
        <w:rPr>
          <w:rFonts w:hint="eastAsia"/>
          <w:sz w:val="24"/>
          <w:szCs w:val="24"/>
          <w:u w:val="none"/>
        </w:rPr>
        <w:t>投标，为本项目提供</w:t>
      </w:r>
      <w:r>
        <w:rPr>
          <w:rFonts w:hint="eastAsia"/>
          <w:sz w:val="24"/>
          <w:szCs w:val="24"/>
          <w:u w:val="none"/>
          <w:lang w:eastAsia="zh-CN"/>
        </w:rPr>
        <w:t>第</w:t>
      </w:r>
      <w:r>
        <w:rPr>
          <w:rFonts w:hint="eastAsia"/>
          <w:sz w:val="24"/>
          <w:szCs w:val="24"/>
          <w:lang w:eastAsia="zh-CN"/>
        </w:rPr>
        <w:t>三方监测及主体沉降观测</w:t>
      </w:r>
      <w:r>
        <w:rPr>
          <w:rFonts w:hint="eastAsia"/>
          <w:sz w:val="24"/>
          <w:szCs w:val="24"/>
        </w:rPr>
        <w:t>。有关问题说明如下：</w:t>
      </w:r>
    </w:p>
    <w:p>
      <w:pPr>
        <w:spacing w:line="440" w:lineRule="exact"/>
        <w:rPr>
          <w:rFonts w:ascii="宋体" w:hAnsi="宋体"/>
          <w:sz w:val="24"/>
          <w:szCs w:val="24"/>
        </w:rPr>
      </w:pPr>
      <w:r>
        <w:rPr>
          <w:rFonts w:hint="eastAsia" w:ascii="宋体" w:hAnsi="宋体"/>
          <w:sz w:val="24"/>
          <w:szCs w:val="24"/>
        </w:rPr>
        <w:t>一、招标人：深圳北邮网络科技有限公司</w:t>
      </w:r>
    </w:p>
    <w:p>
      <w:pPr>
        <w:spacing w:line="440" w:lineRule="exact"/>
        <w:rPr>
          <w:rFonts w:ascii="宋体" w:hAnsi="宋体"/>
          <w:sz w:val="24"/>
          <w:szCs w:val="24"/>
        </w:rPr>
      </w:pPr>
      <w:r>
        <w:rPr>
          <w:rFonts w:hint="eastAsia" w:ascii="宋体" w:hAnsi="宋体"/>
          <w:sz w:val="24"/>
          <w:szCs w:val="24"/>
        </w:rPr>
        <w:t>二、招标地点：深圳市南山区科技园区粤兴三道虚拟大学园产业综合楼三楼</w:t>
      </w:r>
    </w:p>
    <w:p>
      <w:pPr>
        <w:spacing w:line="440" w:lineRule="exact"/>
        <w:rPr>
          <w:rFonts w:ascii="宋体" w:hAnsi="宋体"/>
          <w:sz w:val="24"/>
          <w:szCs w:val="24"/>
        </w:rPr>
      </w:pPr>
      <w:r>
        <w:rPr>
          <w:rFonts w:hint="eastAsia" w:ascii="宋体" w:hAnsi="宋体"/>
          <w:sz w:val="24"/>
          <w:szCs w:val="24"/>
        </w:rPr>
        <w:t>三、项目编号:</w:t>
      </w:r>
    </w:p>
    <w:p>
      <w:pPr>
        <w:spacing w:line="440" w:lineRule="exact"/>
        <w:rPr>
          <w:rFonts w:ascii="宋体" w:hAnsi="宋体"/>
          <w:sz w:val="24"/>
          <w:szCs w:val="24"/>
        </w:rPr>
      </w:pPr>
      <w:r>
        <w:rPr>
          <w:rFonts w:hint="eastAsia" w:ascii="宋体" w:hAnsi="宋体"/>
          <w:sz w:val="24"/>
          <w:szCs w:val="24"/>
        </w:rPr>
        <w:t>四、招标项目名称、项目概况、</w:t>
      </w:r>
      <w:r>
        <w:rPr>
          <w:rFonts w:hint="eastAsia" w:ascii="宋体" w:hAnsi="宋体"/>
          <w:sz w:val="24"/>
          <w:szCs w:val="24"/>
          <w:lang w:eastAsia="zh-CN"/>
        </w:rPr>
        <w:t>第三方监测及主体沉降观测</w:t>
      </w:r>
      <w:r>
        <w:rPr>
          <w:rFonts w:hint="eastAsia" w:ascii="宋体" w:hAnsi="宋体"/>
          <w:sz w:val="24"/>
          <w:szCs w:val="24"/>
        </w:rPr>
        <w:t>内容及要求、服务期限及地点、招标人资格要求：</w:t>
      </w:r>
    </w:p>
    <w:p>
      <w:pPr>
        <w:spacing w:line="440" w:lineRule="exact"/>
        <w:rPr>
          <w:rFonts w:ascii="宋体" w:hAnsi="宋体"/>
          <w:sz w:val="24"/>
          <w:szCs w:val="24"/>
        </w:rPr>
      </w:pPr>
      <w:r>
        <w:rPr>
          <w:rFonts w:hint="eastAsia" w:ascii="宋体" w:hAnsi="宋体"/>
          <w:sz w:val="24"/>
          <w:szCs w:val="24"/>
        </w:rPr>
        <w:t>（一）项目名称：深圳北邮科技大厦项目（</w:t>
      </w:r>
      <w:r>
        <w:rPr>
          <w:rFonts w:hint="eastAsia" w:ascii="宋体" w:hAnsi="宋体"/>
          <w:sz w:val="24"/>
          <w:szCs w:val="24"/>
          <w:lang w:eastAsia="zh-CN"/>
        </w:rPr>
        <w:t>第三方监测及主体沉降观测</w:t>
      </w:r>
      <w:r>
        <w:rPr>
          <w:rFonts w:hint="eastAsia" w:ascii="宋体" w:hAnsi="宋体"/>
          <w:sz w:val="24"/>
          <w:szCs w:val="24"/>
        </w:rPr>
        <w:t>）</w:t>
      </w:r>
    </w:p>
    <w:p>
      <w:pPr>
        <w:spacing w:line="440" w:lineRule="exact"/>
        <w:rPr>
          <w:rFonts w:ascii="宋体" w:hAnsi="宋体"/>
          <w:sz w:val="24"/>
          <w:szCs w:val="24"/>
        </w:rPr>
      </w:pPr>
      <w:r>
        <w:rPr>
          <w:rFonts w:hint="eastAsia" w:ascii="宋体" w:hAnsi="宋体"/>
          <w:sz w:val="24"/>
          <w:szCs w:val="24"/>
        </w:rPr>
        <w:t>（二）项目概况：该项目位于深圳市南山区科技园南区白石路以南科苑路以东，项目用地面积3133.91平方米，拟建总建筑面积约</w:t>
      </w:r>
      <w:r>
        <w:rPr>
          <w:rFonts w:hint="eastAsia" w:ascii="宋体" w:hAnsi="宋体"/>
          <w:sz w:val="24"/>
          <w:szCs w:val="24"/>
          <w:lang w:val="en-US" w:eastAsia="zh-CN"/>
        </w:rPr>
        <w:t>42484.8</w:t>
      </w:r>
      <w:r>
        <w:rPr>
          <w:rFonts w:hint="eastAsia" w:ascii="宋体" w:hAnsi="宋体"/>
          <w:sz w:val="24"/>
          <w:szCs w:val="24"/>
        </w:rPr>
        <w:t>平方米，层高100米，地下三层。投资预估3亿元（其中科研设备投资与土地购置费约1.3亿元）</w:t>
      </w:r>
    </w:p>
    <w:p>
      <w:pPr>
        <w:spacing w:line="440" w:lineRule="exact"/>
        <w:rPr>
          <w:rFonts w:ascii="宋体" w:hAnsi="宋体"/>
          <w:sz w:val="24"/>
          <w:szCs w:val="24"/>
        </w:rPr>
      </w:pPr>
      <w:r>
        <w:rPr>
          <w:rFonts w:hint="eastAsia" w:ascii="宋体" w:hAnsi="宋体"/>
          <w:sz w:val="24"/>
          <w:szCs w:val="24"/>
        </w:rPr>
        <w:t>（三）</w:t>
      </w:r>
      <w:r>
        <w:rPr>
          <w:rFonts w:hint="eastAsia" w:ascii="宋体" w:hAnsi="宋体"/>
          <w:sz w:val="24"/>
          <w:szCs w:val="24"/>
          <w:lang w:eastAsia="zh-CN"/>
        </w:rPr>
        <w:t>第三方监测及主体沉降观测</w:t>
      </w:r>
      <w:r>
        <w:rPr>
          <w:rFonts w:hint="eastAsia" w:ascii="宋体" w:hAnsi="宋体"/>
          <w:sz w:val="24"/>
          <w:szCs w:val="24"/>
        </w:rPr>
        <w:t>工作的具体内容：</w:t>
      </w:r>
    </w:p>
    <w:p>
      <w:pPr>
        <w:tabs>
          <w:tab w:val="left" w:pos="2472"/>
        </w:tabs>
        <w:spacing w:line="440" w:lineRule="exact"/>
        <w:rPr>
          <w:rFonts w:hint="eastAsia" w:ascii="宋体" w:hAnsi="宋体"/>
          <w:kern w:val="0"/>
          <w:sz w:val="24"/>
          <w:szCs w:val="24"/>
          <w:u w:val="none"/>
        </w:rPr>
      </w:pPr>
      <w:r>
        <w:rPr>
          <w:rFonts w:hint="eastAsia" w:ascii="宋体" w:hAnsi="宋体"/>
          <w:kern w:val="0"/>
          <w:sz w:val="24"/>
          <w:szCs w:val="24"/>
          <w:u w:val="none"/>
          <w:lang w:eastAsia="zh-CN"/>
        </w:rPr>
        <w:t>深圳北邮科技大厦</w:t>
      </w:r>
      <w:r>
        <w:rPr>
          <w:rFonts w:hint="eastAsia" w:ascii="宋体" w:hAnsi="宋体"/>
          <w:kern w:val="0"/>
          <w:sz w:val="24"/>
          <w:szCs w:val="24"/>
          <w:u w:val="none"/>
        </w:rPr>
        <w:t>软基工程监测、基坑支护监测、沉降观测、施工控制点测量、主体沉降观测及业主认为需要进行监测的其他内容。具体详见招标文件监测任务书及合同条款。</w:t>
      </w:r>
    </w:p>
    <w:p>
      <w:pPr>
        <w:tabs>
          <w:tab w:val="left" w:pos="2472"/>
        </w:tabs>
        <w:spacing w:line="440" w:lineRule="exact"/>
        <w:rPr>
          <w:rFonts w:ascii="宋体" w:hAnsi="宋体"/>
          <w:sz w:val="24"/>
          <w:szCs w:val="24"/>
        </w:rPr>
      </w:pPr>
      <w:r>
        <w:rPr>
          <w:rFonts w:hint="eastAsia" w:ascii="宋体" w:hAnsi="宋体"/>
          <w:sz w:val="24"/>
          <w:szCs w:val="24"/>
        </w:rPr>
        <w:t>（四）服务期限:自201</w:t>
      </w:r>
      <w:r>
        <w:rPr>
          <w:rFonts w:hint="eastAsia" w:ascii="宋体" w:hAnsi="宋体"/>
          <w:sz w:val="24"/>
          <w:szCs w:val="24"/>
          <w:lang w:val="en-US" w:eastAsia="zh-CN"/>
        </w:rPr>
        <w:t>7</w:t>
      </w:r>
      <w:r>
        <w:rPr>
          <w:rFonts w:hint="eastAsia" w:ascii="宋体" w:hAnsi="宋体"/>
          <w:sz w:val="24"/>
          <w:szCs w:val="24"/>
        </w:rPr>
        <w:t>年</w:t>
      </w:r>
      <w:r>
        <w:rPr>
          <w:rFonts w:hint="eastAsia" w:ascii="宋体" w:hAnsi="宋体"/>
          <w:sz w:val="24"/>
          <w:szCs w:val="24"/>
          <w:lang w:val="en-US" w:eastAsia="zh-CN"/>
        </w:rPr>
        <w:t>4</w:t>
      </w:r>
      <w:r>
        <w:rPr>
          <w:rFonts w:hint="eastAsia" w:ascii="宋体" w:hAnsi="宋体"/>
          <w:sz w:val="24"/>
          <w:szCs w:val="24"/>
        </w:rPr>
        <w:t>月</w:t>
      </w:r>
      <w:r>
        <w:rPr>
          <w:rFonts w:hint="eastAsia" w:ascii="宋体" w:hAnsi="宋体"/>
          <w:sz w:val="24"/>
          <w:szCs w:val="24"/>
          <w:lang w:eastAsia="zh-CN"/>
        </w:rPr>
        <w:t>下旬</w:t>
      </w:r>
      <w:r>
        <w:rPr>
          <w:rFonts w:hint="eastAsia" w:ascii="宋体" w:hAnsi="宋体"/>
          <w:sz w:val="24"/>
          <w:szCs w:val="24"/>
        </w:rPr>
        <w:t>起，至竣工验收止</w:t>
      </w:r>
      <w:r>
        <w:rPr>
          <w:rFonts w:hint="eastAsia" w:ascii="宋体" w:hAnsi="宋体"/>
          <w:sz w:val="24"/>
          <w:szCs w:val="24"/>
          <w:lang w:eastAsia="zh-CN"/>
        </w:rPr>
        <w:t>后一年。</w:t>
      </w:r>
      <w:r>
        <w:rPr>
          <w:rFonts w:hint="eastAsia" w:ascii="宋体" w:hAnsi="宋体"/>
          <w:sz w:val="24"/>
          <w:szCs w:val="24"/>
        </w:rPr>
        <w:t>。</w:t>
      </w:r>
    </w:p>
    <w:p>
      <w:pPr>
        <w:spacing w:line="440" w:lineRule="exact"/>
        <w:rPr>
          <w:rFonts w:ascii="宋体" w:hAnsi="宋体"/>
          <w:sz w:val="24"/>
          <w:szCs w:val="24"/>
        </w:rPr>
      </w:pPr>
      <w:r>
        <w:rPr>
          <w:rFonts w:hint="eastAsia" w:ascii="宋体" w:hAnsi="宋体"/>
          <w:sz w:val="24"/>
          <w:szCs w:val="24"/>
        </w:rPr>
        <w:t>（五）项目地点：深圳市南山区科技园南区白石路以南科苑路以东。（宗地编号</w:t>
      </w:r>
      <w:r>
        <w:rPr>
          <w:rFonts w:ascii="宋体" w:hAnsi="宋体"/>
          <w:sz w:val="24"/>
          <w:szCs w:val="24"/>
        </w:rPr>
        <w:t>，T205-0118宗地</w:t>
      </w:r>
      <w:r>
        <w:rPr>
          <w:rFonts w:hint="eastAsia" w:ascii="宋体" w:hAnsi="宋体"/>
          <w:sz w:val="24"/>
          <w:szCs w:val="24"/>
        </w:rPr>
        <w:t>）</w:t>
      </w: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rPr>
          <w:rFonts w:ascii="宋体" w:hAnsi="宋体"/>
          <w:sz w:val="24"/>
          <w:szCs w:val="24"/>
        </w:rPr>
      </w:pPr>
      <w:r>
        <w:rPr>
          <w:rFonts w:ascii="宋体" w:hAnsi="宋体"/>
          <w:sz w:val="24"/>
          <w:szCs w:val="24"/>
        </w:rPr>
        <w:drawing>
          <wp:inline distT="0" distB="0" distL="114300" distR="114300">
            <wp:extent cx="5826760" cy="4370070"/>
            <wp:effectExtent l="0" t="0" r="10160" b="3810"/>
            <wp:docPr id="1" name="图片 1" descr="Axx7Hhr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xx7HhrQ"/>
                    <pic:cNvPicPr>
                      <a:picLocks noChangeAspect="1"/>
                    </pic:cNvPicPr>
                  </pic:nvPicPr>
                  <pic:blipFill>
                    <a:blip r:embed="rId4"/>
                    <a:stretch>
                      <a:fillRect/>
                    </a:stretch>
                  </pic:blipFill>
                  <pic:spPr>
                    <a:xfrm>
                      <a:off x="0" y="0"/>
                      <a:ext cx="5826760" cy="4370070"/>
                    </a:xfrm>
                    <a:prstGeom prst="rect">
                      <a:avLst/>
                    </a:prstGeom>
                    <a:noFill/>
                    <a:ln w="9525">
                      <a:noFill/>
                    </a:ln>
                  </pic:spPr>
                </pic:pic>
              </a:graphicData>
            </a:graphic>
          </wp:inline>
        </w:drawing>
      </w:r>
    </w:p>
    <w:p>
      <w:pPr>
        <w:spacing w:line="440" w:lineRule="exact"/>
        <w:rPr>
          <w:rFonts w:ascii="宋体" w:hAnsi="宋体"/>
          <w:sz w:val="24"/>
          <w:szCs w:val="24"/>
        </w:rPr>
      </w:pPr>
      <w:r>
        <w:rPr>
          <w:rFonts w:hint="eastAsia" w:ascii="宋体" w:hAnsi="宋体"/>
          <w:sz w:val="24"/>
          <w:szCs w:val="24"/>
        </w:rPr>
        <w:t xml:space="preserve">（六）投标人资格要求： </w:t>
      </w:r>
    </w:p>
    <w:p>
      <w:pPr>
        <w:spacing w:line="440" w:lineRule="exact"/>
        <w:rPr>
          <w:rFonts w:ascii="宋体" w:hAnsi="宋体"/>
          <w:sz w:val="24"/>
          <w:szCs w:val="24"/>
        </w:rPr>
      </w:pPr>
      <w:r>
        <w:rPr>
          <w:rFonts w:hint="eastAsia" w:ascii="宋体" w:hAnsi="宋体"/>
          <w:sz w:val="24"/>
          <w:szCs w:val="24"/>
        </w:rPr>
        <w:t xml:space="preserve">投标人应具备以下条件：  </w:t>
      </w:r>
    </w:p>
    <w:p>
      <w:pPr>
        <w:adjustRightInd w:val="0"/>
        <w:snapToGrid w:val="0"/>
        <w:spacing w:line="360" w:lineRule="auto"/>
        <w:rPr>
          <w:rFonts w:ascii="宋体" w:hAnsi="宋体"/>
          <w:kern w:val="0"/>
          <w:sz w:val="24"/>
          <w:szCs w:val="24"/>
          <w:u w:val="single"/>
        </w:rPr>
      </w:pPr>
      <w:r>
        <w:rPr>
          <w:rFonts w:ascii="宋体" w:hAnsi="宋体"/>
          <w:kern w:val="0"/>
          <w:sz w:val="24"/>
          <w:szCs w:val="24"/>
          <w:u w:val="single"/>
        </w:rPr>
        <w:t>1、企业资质：具有工程勘察综合类甲级或工程勘察专业类（工程测量、岩土工程（含监测））甲级及以上资质。</w:t>
      </w:r>
    </w:p>
    <w:p>
      <w:pPr>
        <w:adjustRightInd w:val="0"/>
        <w:snapToGrid w:val="0"/>
        <w:spacing w:line="360" w:lineRule="auto"/>
        <w:rPr>
          <w:rFonts w:ascii="宋体" w:hAnsi="宋体"/>
          <w:kern w:val="0"/>
          <w:sz w:val="24"/>
          <w:szCs w:val="24"/>
          <w:u w:val="single"/>
        </w:rPr>
      </w:pPr>
      <w:r>
        <w:rPr>
          <w:rFonts w:ascii="宋体" w:hAnsi="宋体"/>
          <w:kern w:val="0"/>
          <w:sz w:val="24"/>
          <w:szCs w:val="24"/>
          <w:u w:val="single"/>
        </w:rPr>
        <w:t>2、项目负责人资格：具备注册土木工程师（岩土）资格；</w:t>
      </w:r>
    </w:p>
    <w:p>
      <w:pPr>
        <w:adjustRightInd w:val="0"/>
        <w:snapToGrid w:val="0"/>
        <w:spacing w:line="360" w:lineRule="auto"/>
        <w:rPr>
          <w:rFonts w:ascii="宋体" w:hAnsi="宋体"/>
          <w:kern w:val="0"/>
          <w:sz w:val="24"/>
          <w:szCs w:val="24"/>
          <w:u w:val="single"/>
        </w:rPr>
      </w:pPr>
      <w:r>
        <w:rPr>
          <w:rFonts w:ascii="宋体" w:hAnsi="宋体"/>
          <w:kern w:val="0"/>
          <w:sz w:val="24"/>
          <w:szCs w:val="24"/>
          <w:u w:val="single"/>
        </w:rPr>
        <w:t>3、其他投标条件要求：</w:t>
      </w:r>
    </w:p>
    <w:p>
      <w:pPr>
        <w:adjustRightInd w:val="0"/>
        <w:snapToGrid w:val="0"/>
        <w:spacing w:line="360" w:lineRule="auto"/>
        <w:rPr>
          <w:rFonts w:ascii="宋体" w:hAnsi="宋体"/>
          <w:kern w:val="0"/>
          <w:sz w:val="24"/>
          <w:szCs w:val="24"/>
          <w:u w:val="single"/>
        </w:rPr>
      </w:pPr>
      <w:r>
        <w:rPr>
          <w:rFonts w:hint="eastAsia" w:ascii="宋体" w:hAnsi="宋体"/>
          <w:kern w:val="0"/>
          <w:sz w:val="24"/>
          <w:szCs w:val="24"/>
          <w:u w:val="single"/>
        </w:rPr>
        <w:t>（</w:t>
      </w:r>
      <w:r>
        <w:rPr>
          <w:rFonts w:ascii="宋体" w:hAnsi="宋体"/>
          <w:kern w:val="0"/>
          <w:sz w:val="24"/>
          <w:szCs w:val="24"/>
          <w:u w:val="single"/>
        </w:rPr>
        <w:t>1）近1年内（从截标之日起倒算），在招投标活动中有串通投标不良行为记录或涉嫌串通投标并正在接受我市主管部门调查的投标申请人不被接受；</w:t>
      </w:r>
    </w:p>
    <w:p>
      <w:pPr>
        <w:adjustRightInd w:val="0"/>
        <w:snapToGrid w:val="0"/>
        <w:spacing w:line="360" w:lineRule="auto"/>
        <w:rPr>
          <w:rFonts w:ascii="宋体" w:hAnsi="宋体"/>
          <w:kern w:val="0"/>
          <w:sz w:val="24"/>
          <w:szCs w:val="24"/>
          <w:u w:val="single"/>
        </w:rPr>
      </w:pPr>
      <w:r>
        <w:rPr>
          <w:rFonts w:hint="eastAsia" w:ascii="宋体" w:hAnsi="宋体"/>
          <w:kern w:val="0"/>
          <w:sz w:val="24"/>
          <w:szCs w:val="24"/>
          <w:u w:val="single"/>
        </w:rPr>
        <w:t>（</w:t>
      </w:r>
      <w:r>
        <w:rPr>
          <w:rFonts w:ascii="宋体" w:hAnsi="宋体"/>
          <w:kern w:val="0"/>
          <w:sz w:val="24"/>
          <w:szCs w:val="24"/>
          <w:u w:val="single"/>
        </w:rPr>
        <w:t>2）中标后的投标人应在中标人公示期间向招标人提供检察机关出具的投标人法人及法定代表人的《行贿犯罪档案查询告知函》（近三年）。</w:t>
      </w:r>
    </w:p>
    <w:p>
      <w:pPr>
        <w:adjustRightInd w:val="0"/>
        <w:snapToGrid w:val="0"/>
        <w:spacing w:line="360" w:lineRule="auto"/>
        <w:rPr>
          <w:rFonts w:ascii="宋体" w:hAnsi="宋体"/>
          <w:kern w:val="0"/>
          <w:sz w:val="24"/>
          <w:szCs w:val="24"/>
          <w:u w:val="single"/>
        </w:rPr>
      </w:pPr>
      <w:r>
        <w:rPr>
          <w:rFonts w:hint="eastAsia" w:ascii="宋体" w:hAnsi="宋体"/>
          <w:kern w:val="0"/>
          <w:sz w:val="24"/>
          <w:szCs w:val="24"/>
          <w:u w:val="single"/>
        </w:rPr>
        <w:t>（</w:t>
      </w:r>
      <w:r>
        <w:rPr>
          <w:rFonts w:ascii="宋体" w:hAnsi="宋体"/>
          <w:kern w:val="0"/>
          <w:sz w:val="24"/>
          <w:szCs w:val="24"/>
          <w:u w:val="single"/>
        </w:rPr>
        <w:t>3）互相间有直接控股关系的勘察单位不得同时参加本工程的投</w:t>
      </w:r>
      <w:r>
        <w:rPr>
          <w:rFonts w:hint="eastAsia" w:ascii="宋体" w:hAnsi="宋体"/>
          <w:kern w:val="0"/>
          <w:sz w:val="24"/>
          <w:szCs w:val="24"/>
          <w:u w:val="single"/>
        </w:rPr>
        <w:t>标。</w:t>
      </w:r>
    </w:p>
    <w:p>
      <w:pPr>
        <w:adjustRightInd w:val="0"/>
        <w:snapToGrid w:val="0"/>
        <w:spacing w:line="360" w:lineRule="auto"/>
        <w:rPr>
          <w:rFonts w:ascii="宋体" w:hAnsi="宋体"/>
          <w:kern w:val="0"/>
          <w:sz w:val="24"/>
          <w:szCs w:val="24"/>
          <w:u w:val="single"/>
        </w:rPr>
      </w:pPr>
      <w:r>
        <w:rPr>
          <w:rFonts w:hint="eastAsia" w:ascii="宋体" w:hAnsi="宋体"/>
          <w:kern w:val="0"/>
          <w:sz w:val="24"/>
          <w:szCs w:val="24"/>
          <w:highlight w:val="yellow"/>
          <w:u w:val="single"/>
        </w:rPr>
        <w:t>（</w:t>
      </w:r>
      <w:r>
        <w:rPr>
          <w:rFonts w:ascii="宋体" w:hAnsi="宋体"/>
          <w:kern w:val="0"/>
          <w:sz w:val="24"/>
          <w:szCs w:val="24"/>
          <w:highlight w:val="yellow"/>
          <w:u w:val="single"/>
        </w:rPr>
        <w:t>4）为保证本工程监测的真实性和独立性，本项工作应由第三方独立完成，所有已承担（或参与）</w:t>
      </w:r>
      <w:r>
        <w:rPr>
          <w:rFonts w:hint="eastAsia" w:ascii="宋体" w:hAnsi="宋体"/>
          <w:kern w:val="0"/>
          <w:sz w:val="24"/>
          <w:szCs w:val="24"/>
          <w:highlight w:val="yellow"/>
          <w:u w:val="single"/>
          <w:lang w:eastAsia="zh-CN"/>
        </w:rPr>
        <w:t>深圳北邮科技大厦</w:t>
      </w:r>
      <w:r>
        <w:rPr>
          <w:rFonts w:ascii="宋体" w:hAnsi="宋体"/>
          <w:kern w:val="0"/>
          <w:sz w:val="24"/>
          <w:szCs w:val="24"/>
          <w:highlight w:val="yellow"/>
          <w:u w:val="single"/>
        </w:rPr>
        <w:t xml:space="preserve">勘察或设计或全过程造价咨询或监理或施工单位等相关单位，或与上述单位存在隶属关系或利害关系等相关联的单位均谢绝参加本工程的投标。 </w:t>
      </w:r>
      <w:r>
        <w:rPr>
          <w:rFonts w:ascii="宋体" w:hAnsi="宋体"/>
          <w:kern w:val="0"/>
          <w:sz w:val="24"/>
          <w:szCs w:val="24"/>
          <w:u w:val="single"/>
        </w:rPr>
        <w:t xml:space="preserve">   </w:t>
      </w:r>
    </w:p>
    <w:p>
      <w:pPr>
        <w:pStyle w:val="11"/>
        <w:spacing w:line="440" w:lineRule="exact"/>
        <w:rPr>
          <w:rFonts w:hAnsi="宋体" w:cs="Arial"/>
          <w:sz w:val="24"/>
          <w:szCs w:val="24"/>
        </w:rPr>
      </w:pPr>
      <w:r>
        <w:rPr>
          <w:rFonts w:hint="eastAsia" w:hAnsi="宋体"/>
          <w:sz w:val="24"/>
          <w:szCs w:val="24"/>
          <w:lang w:val="en-US" w:eastAsia="zh-CN"/>
        </w:rPr>
        <w:t>4</w:t>
      </w:r>
      <w:r>
        <w:rPr>
          <w:rFonts w:hint="eastAsia" w:hAnsi="宋体"/>
          <w:sz w:val="24"/>
          <w:szCs w:val="24"/>
        </w:rPr>
        <w:t>.本项目不接受联合体投标。</w:t>
      </w:r>
    </w:p>
    <w:p>
      <w:pPr>
        <w:spacing w:line="440" w:lineRule="exact"/>
        <w:rPr>
          <w:rFonts w:ascii="宋体" w:hAnsi="宋体"/>
          <w:sz w:val="24"/>
          <w:szCs w:val="24"/>
        </w:rPr>
      </w:pPr>
      <w:r>
        <w:rPr>
          <w:rFonts w:hint="eastAsia" w:ascii="宋体" w:hAnsi="宋体"/>
          <w:sz w:val="24"/>
          <w:szCs w:val="24"/>
        </w:rPr>
        <w:t>五、投标人须知：投标人应承担现场考察、编制和提交投标文件相关的一切费用、损害和人身伤亡事故责任。无论投标结果如何，招标人对上述费用不承担任何责任。</w:t>
      </w:r>
    </w:p>
    <w:p>
      <w:pPr>
        <w:spacing w:line="440" w:lineRule="exact"/>
        <w:rPr>
          <w:rFonts w:hint="eastAsia" w:ascii="宋体" w:hAnsi="宋体"/>
          <w:sz w:val="24"/>
          <w:szCs w:val="24"/>
        </w:rPr>
      </w:pPr>
      <w:r>
        <w:rPr>
          <w:rFonts w:hint="eastAsia" w:ascii="宋体" w:hAnsi="宋体"/>
          <w:sz w:val="24"/>
          <w:szCs w:val="24"/>
        </w:rPr>
        <w:t>六、招标文件的获取：</w:t>
      </w:r>
      <w:r>
        <w:rPr>
          <w:rFonts w:hint="eastAsia" w:ascii="仿宋_GB2312" w:eastAsia="仿宋_GB2312"/>
          <w:b/>
          <w:kern w:val="0"/>
          <w:sz w:val="24"/>
          <w:szCs w:val="24"/>
          <w:lang w:val="en-US" w:eastAsia="zh-CN"/>
        </w:rPr>
        <w:t xml:space="preserve">在 </w:t>
      </w:r>
      <w:r>
        <w:rPr>
          <w:rFonts w:hint="eastAsia" w:eastAsia="仿宋_GB2312"/>
          <w:b/>
          <w:sz w:val="24"/>
          <w:szCs w:val="24"/>
          <w:lang w:eastAsia="zh-CN"/>
        </w:rPr>
        <w:t>http://www.szvup.com/（</w:t>
      </w:r>
      <w:r>
        <w:rPr>
          <w:rFonts w:hint="eastAsia" w:eastAsia="仿宋_GB2312"/>
          <w:b/>
          <w:sz w:val="24"/>
          <w:szCs w:val="24"/>
          <w:lang w:val="en-US" w:eastAsia="zh-CN"/>
        </w:rPr>
        <w:t>深圳虚拟大学园</w:t>
      </w:r>
      <w:r>
        <w:rPr>
          <w:rFonts w:hint="eastAsia" w:eastAsia="仿宋_GB2312"/>
          <w:b/>
          <w:sz w:val="24"/>
          <w:szCs w:val="24"/>
          <w:lang w:eastAsia="zh-CN"/>
        </w:rPr>
        <w:t>）与http://www.byusz.com/（</w:t>
      </w:r>
      <w:r>
        <w:rPr>
          <w:rFonts w:hint="eastAsia" w:eastAsia="仿宋_GB2312"/>
          <w:b/>
          <w:sz w:val="24"/>
          <w:szCs w:val="24"/>
          <w:lang w:val="en-US" w:eastAsia="zh-CN"/>
        </w:rPr>
        <w:t>北京邮电大学深圳研究院</w:t>
      </w:r>
      <w:r>
        <w:rPr>
          <w:rFonts w:hint="eastAsia" w:eastAsia="仿宋_GB2312"/>
          <w:b/>
          <w:sz w:val="24"/>
          <w:szCs w:val="24"/>
          <w:lang w:eastAsia="zh-CN"/>
        </w:rPr>
        <w:t>）下载。</w:t>
      </w:r>
    </w:p>
    <w:p>
      <w:pPr>
        <w:spacing w:line="440" w:lineRule="exact"/>
        <w:rPr>
          <w:rFonts w:ascii="宋体" w:hAnsi="宋体"/>
          <w:sz w:val="24"/>
          <w:szCs w:val="24"/>
        </w:rPr>
      </w:pPr>
      <w:r>
        <w:rPr>
          <w:rFonts w:hint="eastAsia" w:ascii="宋体" w:hAnsi="宋体"/>
          <w:sz w:val="24"/>
          <w:szCs w:val="24"/>
        </w:rPr>
        <w:t>七、投标人在参加本投标活动中，必须由投标人单位的法定代表人或法定代表人委托人参加，不得委托其他人参加，若发现不符合本条规定，按中途退标处理，委托人必须有委托函且带上身份证原件。</w:t>
      </w:r>
    </w:p>
    <w:p>
      <w:pPr>
        <w:spacing w:line="440" w:lineRule="exact"/>
        <w:rPr>
          <w:rFonts w:ascii="宋体" w:hAnsi="宋体"/>
          <w:sz w:val="24"/>
          <w:szCs w:val="24"/>
        </w:rPr>
      </w:pPr>
      <w:r>
        <w:rPr>
          <w:rFonts w:hint="eastAsia" w:ascii="宋体" w:hAnsi="宋体"/>
          <w:sz w:val="24"/>
          <w:szCs w:val="24"/>
        </w:rPr>
        <w:t>八、投标地点：深圳市南山区科技园区粤兴三道虚拟大学园产业综合楼三楼。</w:t>
      </w:r>
    </w:p>
    <w:p>
      <w:pPr>
        <w:spacing w:line="440" w:lineRule="exact"/>
        <w:rPr>
          <w:rFonts w:ascii="宋体" w:hAnsi="宋体"/>
          <w:sz w:val="24"/>
          <w:szCs w:val="24"/>
        </w:rPr>
      </w:pPr>
      <w:r>
        <w:rPr>
          <w:rFonts w:hint="eastAsia" w:ascii="宋体" w:hAnsi="宋体"/>
          <w:sz w:val="24"/>
          <w:szCs w:val="24"/>
        </w:rPr>
        <w:t>九、投标截止时间及开标时间：</w:t>
      </w:r>
    </w:p>
    <w:p>
      <w:pPr>
        <w:spacing w:line="440" w:lineRule="exact"/>
        <w:rPr>
          <w:rFonts w:ascii="宋体" w:hAnsi="宋体"/>
          <w:sz w:val="24"/>
          <w:szCs w:val="24"/>
        </w:rPr>
      </w:pPr>
      <w:r>
        <w:rPr>
          <w:rFonts w:hint="eastAsia" w:ascii="宋体" w:hAnsi="宋体"/>
          <w:sz w:val="24"/>
          <w:szCs w:val="24"/>
        </w:rPr>
        <w:t>投标截止日：</w:t>
      </w:r>
      <w:r>
        <w:rPr>
          <w:rFonts w:hint="eastAsia" w:ascii="宋体" w:hAnsi="宋体"/>
          <w:sz w:val="24"/>
          <w:szCs w:val="24"/>
          <w:u w:val="single"/>
        </w:rPr>
        <w:t>201</w:t>
      </w:r>
      <w:r>
        <w:rPr>
          <w:rFonts w:hint="eastAsia" w:ascii="宋体" w:hAnsi="宋体"/>
          <w:sz w:val="24"/>
          <w:szCs w:val="24"/>
          <w:u w:val="single"/>
          <w:lang w:val="en-US" w:eastAsia="zh-CN"/>
        </w:rPr>
        <w:t>7</w:t>
      </w:r>
      <w:r>
        <w:rPr>
          <w:rFonts w:hint="eastAsia" w:ascii="宋体" w:hAnsi="宋体"/>
          <w:sz w:val="24"/>
          <w:szCs w:val="24"/>
          <w:u w:val="single"/>
        </w:rPr>
        <w:t>年</w:t>
      </w:r>
      <w:r>
        <w:rPr>
          <w:rFonts w:hint="eastAsia" w:ascii="宋体" w:hAnsi="宋体"/>
          <w:sz w:val="24"/>
          <w:szCs w:val="24"/>
          <w:u w:val="single"/>
          <w:lang w:val="en-US" w:eastAsia="zh-CN"/>
        </w:rPr>
        <w:t>4</w:t>
      </w:r>
      <w:r>
        <w:rPr>
          <w:rFonts w:hint="eastAsia" w:ascii="宋体" w:hAnsi="宋体"/>
          <w:sz w:val="24"/>
          <w:szCs w:val="24"/>
          <w:u w:val="single"/>
        </w:rPr>
        <w:t xml:space="preserve">月 </w:t>
      </w:r>
      <w:r>
        <w:rPr>
          <w:rFonts w:hint="eastAsia" w:ascii="宋体" w:hAnsi="宋体"/>
          <w:sz w:val="24"/>
          <w:szCs w:val="24"/>
          <w:u w:val="single"/>
          <w:lang w:val="en-US" w:eastAsia="zh-CN"/>
        </w:rPr>
        <w:t>28</w:t>
      </w:r>
      <w:r>
        <w:rPr>
          <w:rFonts w:hint="eastAsia" w:ascii="宋体" w:hAnsi="宋体"/>
          <w:sz w:val="24"/>
          <w:szCs w:val="24"/>
          <w:u w:val="single"/>
        </w:rPr>
        <w:t xml:space="preserve"> 日 10时 00  分</w:t>
      </w:r>
      <w:r>
        <w:rPr>
          <w:rFonts w:hint="eastAsia" w:ascii="宋体" w:hAnsi="宋体"/>
          <w:sz w:val="24"/>
          <w:szCs w:val="24"/>
        </w:rPr>
        <w:t xml:space="preserve">  （北京时间），逾期恕不接受。</w:t>
      </w:r>
    </w:p>
    <w:p>
      <w:pPr>
        <w:spacing w:line="440" w:lineRule="exact"/>
        <w:rPr>
          <w:rFonts w:ascii="宋体" w:hAnsi="宋体"/>
          <w:sz w:val="24"/>
          <w:szCs w:val="24"/>
        </w:rPr>
      </w:pPr>
      <w:r>
        <w:rPr>
          <w:rFonts w:hint="eastAsia" w:ascii="宋体" w:hAnsi="宋体"/>
          <w:sz w:val="24"/>
          <w:szCs w:val="24"/>
        </w:rPr>
        <w:t>开标时间：</w:t>
      </w:r>
      <w:r>
        <w:rPr>
          <w:rFonts w:hint="eastAsia" w:ascii="宋体" w:hAnsi="宋体"/>
          <w:sz w:val="24"/>
          <w:szCs w:val="24"/>
          <w:u w:val="single"/>
        </w:rPr>
        <w:t>201</w:t>
      </w:r>
      <w:r>
        <w:rPr>
          <w:rFonts w:hint="eastAsia" w:ascii="宋体" w:hAnsi="宋体"/>
          <w:sz w:val="24"/>
          <w:szCs w:val="24"/>
          <w:u w:val="single"/>
          <w:lang w:val="en-US" w:eastAsia="zh-CN"/>
        </w:rPr>
        <w:t>7</w:t>
      </w:r>
      <w:r>
        <w:rPr>
          <w:rFonts w:hint="eastAsia" w:ascii="宋体" w:hAnsi="宋体"/>
          <w:sz w:val="24"/>
          <w:szCs w:val="24"/>
          <w:u w:val="single"/>
        </w:rPr>
        <w:t xml:space="preserve">年 </w:t>
      </w:r>
      <w:r>
        <w:rPr>
          <w:rFonts w:hint="eastAsia" w:ascii="宋体" w:hAnsi="宋体"/>
          <w:sz w:val="24"/>
          <w:szCs w:val="24"/>
          <w:u w:val="single"/>
          <w:lang w:val="en-US" w:eastAsia="zh-CN"/>
        </w:rPr>
        <w:t>4</w:t>
      </w:r>
      <w:r>
        <w:rPr>
          <w:rFonts w:hint="eastAsia" w:ascii="宋体" w:hAnsi="宋体"/>
          <w:sz w:val="24"/>
          <w:szCs w:val="24"/>
          <w:u w:val="single"/>
        </w:rPr>
        <w:t xml:space="preserve">月 </w:t>
      </w:r>
      <w:r>
        <w:rPr>
          <w:rFonts w:hint="eastAsia" w:ascii="宋体" w:hAnsi="宋体"/>
          <w:sz w:val="24"/>
          <w:szCs w:val="24"/>
          <w:u w:val="single"/>
          <w:lang w:val="en-US" w:eastAsia="zh-CN"/>
        </w:rPr>
        <w:t>28</w:t>
      </w:r>
      <w:r>
        <w:rPr>
          <w:rFonts w:hint="eastAsia" w:ascii="宋体" w:hAnsi="宋体"/>
          <w:sz w:val="24"/>
          <w:szCs w:val="24"/>
          <w:u w:val="single"/>
        </w:rPr>
        <w:t xml:space="preserve"> 日  10时   00分</w:t>
      </w:r>
      <w:r>
        <w:rPr>
          <w:rFonts w:hint="eastAsia" w:ascii="宋体" w:hAnsi="宋体"/>
          <w:sz w:val="24"/>
          <w:szCs w:val="24"/>
        </w:rPr>
        <w:t>（北京时间）</w:t>
      </w:r>
    </w:p>
    <w:p>
      <w:pPr>
        <w:spacing w:line="440" w:lineRule="exact"/>
        <w:rPr>
          <w:rFonts w:ascii="宋体" w:hAnsi="宋体"/>
          <w:sz w:val="24"/>
          <w:szCs w:val="24"/>
        </w:rPr>
      </w:pPr>
      <w:r>
        <w:rPr>
          <w:rFonts w:hint="eastAsia" w:ascii="宋体" w:hAnsi="宋体"/>
          <w:sz w:val="24"/>
          <w:szCs w:val="24"/>
        </w:rPr>
        <w:t>投标人应按照上述规定的日程安排，准时递交本项目的投标资料。</w:t>
      </w:r>
    </w:p>
    <w:p>
      <w:pPr>
        <w:spacing w:line="440" w:lineRule="exact"/>
        <w:rPr>
          <w:rFonts w:ascii="宋体" w:hAnsi="宋体"/>
          <w:sz w:val="24"/>
          <w:szCs w:val="24"/>
        </w:rPr>
      </w:pPr>
      <w:r>
        <w:rPr>
          <w:rFonts w:hint="eastAsia" w:ascii="宋体" w:hAnsi="宋体"/>
          <w:sz w:val="24"/>
          <w:szCs w:val="24"/>
        </w:rPr>
        <w:t>十、开标地点：深圳市南山区科技园区粤兴三道虚拟大学园产业综合楼三楼。</w:t>
      </w:r>
    </w:p>
    <w:p>
      <w:pPr>
        <w:spacing w:line="440" w:lineRule="exact"/>
        <w:rPr>
          <w:rFonts w:ascii="宋体" w:hAnsi="宋体"/>
          <w:sz w:val="24"/>
          <w:szCs w:val="24"/>
        </w:rPr>
      </w:pPr>
      <w:r>
        <w:rPr>
          <w:rFonts w:hint="eastAsia" w:ascii="宋体" w:hAnsi="宋体"/>
          <w:sz w:val="24"/>
          <w:szCs w:val="24"/>
        </w:rPr>
        <w:t>十一、联系方式</w:t>
      </w:r>
    </w:p>
    <w:p>
      <w:pPr>
        <w:spacing w:line="440" w:lineRule="exact"/>
        <w:rPr>
          <w:rFonts w:ascii="宋体" w:hAnsi="宋体"/>
          <w:sz w:val="24"/>
          <w:szCs w:val="24"/>
        </w:rPr>
      </w:pPr>
      <w:r>
        <w:rPr>
          <w:rFonts w:hint="eastAsia" w:ascii="宋体" w:hAnsi="宋体"/>
          <w:sz w:val="24"/>
          <w:szCs w:val="24"/>
        </w:rPr>
        <w:t>联系人：李丹曦  电话：0755-86707819</w:t>
      </w:r>
    </w:p>
    <w:p>
      <w:pPr>
        <w:spacing w:line="440" w:lineRule="exact"/>
        <w:rPr>
          <w:rFonts w:ascii="宋体" w:hAnsi="宋体"/>
          <w:sz w:val="24"/>
          <w:szCs w:val="24"/>
        </w:rPr>
      </w:pPr>
      <w:r>
        <w:rPr>
          <w:rFonts w:hint="eastAsia" w:ascii="宋体" w:hAnsi="宋体"/>
          <w:sz w:val="24"/>
          <w:szCs w:val="24"/>
        </w:rPr>
        <w:t>十二、其他：</w:t>
      </w:r>
    </w:p>
    <w:p>
      <w:pPr>
        <w:spacing w:line="440" w:lineRule="exact"/>
        <w:rPr>
          <w:rFonts w:ascii="宋体" w:hAnsi="宋体"/>
          <w:sz w:val="24"/>
          <w:szCs w:val="24"/>
        </w:rPr>
      </w:pPr>
      <w:r>
        <w:rPr>
          <w:rFonts w:hint="eastAsia" w:ascii="宋体" w:hAnsi="宋体"/>
          <w:sz w:val="24"/>
          <w:szCs w:val="24"/>
        </w:rPr>
        <w:t>（一）招标文件的澄清</w:t>
      </w:r>
    </w:p>
    <w:p>
      <w:pPr>
        <w:spacing w:line="440" w:lineRule="exact"/>
        <w:ind w:firstLine="480" w:firstLineChars="200"/>
        <w:rPr>
          <w:rFonts w:ascii="宋体" w:hAnsi="宋体"/>
          <w:sz w:val="24"/>
          <w:szCs w:val="24"/>
        </w:rPr>
      </w:pPr>
      <w:r>
        <w:rPr>
          <w:rFonts w:hint="eastAsia" w:ascii="宋体" w:hAnsi="宋体"/>
          <w:sz w:val="24"/>
          <w:szCs w:val="24"/>
        </w:rPr>
        <w:t>要求对招标文件进行澄清的投标人，应在收到招标文件后2日内在以邮件形式递交深圳北邮网络科技有限公司(以下简称公司)，邮箱</w:t>
      </w:r>
      <w:r>
        <w:rPr>
          <w:rFonts w:hint="eastAsia" w:ascii="宋体" w:hAnsi="宋体"/>
          <w:sz w:val="24"/>
          <w:szCs w:val="24"/>
          <w:u w:val="single"/>
        </w:rPr>
        <w:t xml:space="preserve">：  lidanxi09@foxmail.com         </w:t>
      </w:r>
      <w:r>
        <w:rPr>
          <w:rFonts w:hint="eastAsia" w:ascii="宋体" w:hAnsi="宋体"/>
          <w:sz w:val="24"/>
          <w:szCs w:val="24"/>
        </w:rPr>
        <w:t>，公司将根据情况确定将不标明问题来源的邮件答复发给所有购买招标文件的投标人，其它方式不予受理；</w:t>
      </w:r>
    </w:p>
    <w:p>
      <w:pPr>
        <w:spacing w:line="440" w:lineRule="exact"/>
        <w:rPr>
          <w:rFonts w:ascii="宋体" w:hAnsi="宋体"/>
          <w:sz w:val="24"/>
          <w:szCs w:val="24"/>
        </w:rPr>
      </w:pPr>
      <w:r>
        <w:rPr>
          <w:rFonts w:hint="eastAsia" w:ascii="宋体" w:hAnsi="宋体"/>
          <w:sz w:val="24"/>
          <w:szCs w:val="24"/>
        </w:rPr>
        <w:t>（二）招标文件的修改</w:t>
      </w:r>
    </w:p>
    <w:p>
      <w:pPr>
        <w:spacing w:line="440" w:lineRule="exact"/>
        <w:rPr>
          <w:rFonts w:ascii="宋体" w:hAnsi="宋体"/>
          <w:sz w:val="24"/>
          <w:szCs w:val="24"/>
        </w:rPr>
      </w:pPr>
      <w:r>
        <w:rPr>
          <w:rFonts w:hint="eastAsia" w:ascii="宋体" w:hAnsi="宋体"/>
          <w:sz w:val="24"/>
          <w:szCs w:val="24"/>
        </w:rPr>
        <w:t>1．在投标截止期前，无论出于何种原因，招标人有对招标文件进行修改的权力。</w:t>
      </w:r>
    </w:p>
    <w:p>
      <w:pPr>
        <w:spacing w:line="440" w:lineRule="exact"/>
        <w:rPr>
          <w:rFonts w:ascii="宋体" w:hAnsi="宋体"/>
          <w:sz w:val="24"/>
          <w:szCs w:val="24"/>
        </w:rPr>
      </w:pPr>
      <w:r>
        <w:rPr>
          <w:rFonts w:hint="eastAsia" w:ascii="宋体" w:hAnsi="宋体"/>
          <w:sz w:val="24"/>
          <w:szCs w:val="24"/>
        </w:rPr>
        <w:t>2.招标文件的修改将以书面形式通知所有购买招标文件的投标人，并对其具有约束力。</w:t>
      </w:r>
    </w:p>
    <w:p>
      <w:pPr>
        <w:spacing w:line="440" w:lineRule="exact"/>
        <w:rPr>
          <w:rFonts w:ascii="宋体" w:hAnsi="宋体"/>
          <w:sz w:val="24"/>
          <w:szCs w:val="24"/>
        </w:rPr>
      </w:pPr>
      <w:r>
        <w:rPr>
          <w:rFonts w:hint="eastAsia" w:ascii="宋体" w:hAnsi="宋体"/>
          <w:sz w:val="24"/>
          <w:szCs w:val="24"/>
        </w:rPr>
        <w:t>3．招标人可自行决定是否延长投标截止期，并将此变更时间书面通知各投标人。</w:t>
      </w:r>
    </w:p>
    <w:p>
      <w:pPr>
        <w:spacing w:line="440" w:lineRule="exact"/>
      </w:pPr>
      <w:r>
        <w:rPr>
          <w:rFonts w:hint="eastAsia" w:ascii="宋体" w:hAnsi="宋体"/>
          <w:sz w:val="24"/>
          <w:szCs w:val="24"/>
        </w:rPr>
        <w:t>4．在评标过程中，如专家一致认为招标文件有不满足教学、科研、产业需要的，专家组可向招标人建议小范围修改。招标人有权做适当调整，并当面通知所有投标人。</w:t>
      </w:r>
    </w:p>
    <w:p>
      <w:pPr>
        <w:sectPr>
          <w:pgSz w:w="11906" w:h="16838"/>
          <w:pgMar w:top="1361" w:right="1361" w:bottom="1361" w:left="1361" w:header="851" w:footer="992" w:gutter="0"/>
          <w:cols w:space="720" w:num="1"/>
          <w:docGrid w:type="lines" w:linePitch="312" w:charSpace="0"/>
        </w:sectPr>
      </w:pPr>
    </w:p>
    <w:p/>
    <w:p>
      <w:pPr>
        <w:pStyle w:val="2"/>
        <w:jc w:val="center"/>
      </w:pPr>
      <w:bookmarkStart w:id="2" w:name="_Toc457481144"/>
      <w:r>
        <w:rPr>
          <w:rFonts w:hint="eastAsia"/>
        </w:rPr>
        <w:t>第二部分  投标须知</w:t>
      </w:r>
      <w:bookmarkEnd w:id="2"/>
    </w:p>
    <w:p>
      <w:pPr>
        <w:pStyle w:val="2"/>
        <w:jc w:val="center"/>
      </w:pPr>
      <w:bookmarkStart w:id="3" w:name="_Toc457481145"/>
      <w:r>
        <w:rPr>
          <w:rFonts w:hint="eastAsia"/>
        </w:rPr>
        <w:t>投标文件的编制要求</w:t>
      </w:r>
      <w:bookmarkEnd w:id="3"/>
    </w:p>
    <w:p>
      <w:pPr>
        <w:spacing w:line="480" w:lineRule="exact"/>
        <w:rPr>
          <w:rFonts w:ascii="宋体" w:hAnsi="宋体"/>
          <w:sz w:val="24"/>
          <w:szCs w:val="24"/>
        </w:rPr>
      </w:pPr>
      <w:bookmarkStart w:id="4" w:name="_Toc457481146"/>
      <w:r>
        <w:rPr>
          <w:rStyle w:val="39"/>
          <w:rFonts w:hint="eastAsia"/>
        </w:rPr>
        <w:t>1. 要求</w:t>
      </w:r>
      <w:bookmarkEnd w:id="4"/>
      <w:r>
        <w:rPr>
          <w:rStyle w:val="39"/>
          <w:rFonts w:hint="eastAsia"/>
        </w:rPr>
        <w:t xml:space="preserve"> </w:t>
      </w:r>
    </w:p>
    <w:p>
      <w:pPr>
        <w:spacing w:line="480" w:lineRule="exact"/>
        <w:rPr>
          <w:rFonts w:ascii="宋体" w:hAnsi="宋体"/>
          <w:sz w:val="24"/>
          <w:szCs w:val="24"/>
        </w:rPr>
      </w:pPr>
      <w:r>
        <w:rPr>
          <w:rFonts w:hint="eastAsia" w:ascii="宋体" w:hAnsi="宋体"/>
          <w:sz w:val="24"/>
          <w:szCs w:val="24"/>
        </w:rPr>
        <w:t xml:space="preserve">1.1．投标人应认真阅读招标文件的所有内容，按招标文件的要求提供投标文件，并保证提供的全部资料的真实性，以使其投标对招标文件作出实质性响应，投标文件应达到招标文件规定的深度，满足评审需要。不响应招标文件要求的投标文件可能被拒绝，责任由投标人自负。 </w:t>
      </w:r>
    </w:p>
    <w:p>
      <w:pPr>
        <w:spacing w:line="480" w:lineRule="exact"/>
        <w:rPr>
          <w:rFonts w:ascii="宋体" w:hAnsi="宋体"/>
          <w:sz w:val="24"/>
          <w:szCs w:val="24"/>
        </w:rPr>
      </w:pPr>
      <w:r>
        <w:rPr>
          <w:rFonts w:hint="eastAsia" w:ascii="宋体" w:hAnsi="宋体"/>
          <w:sz w:val="24"/>
          <w:szCs w:val="24"/>
        </w:rPr>
        <w:t xml:space="preserve">1.2 投标文件的语言：投标文件以及投标人与招标人就有关投标的往来函电均应使用中文书写。  </w:t>
      </w:r>
    </w:p>
    <w:p>
      <w:pPr>
        <w:spacing w:line="480" w:lineRule="exact"/>
        <w:rPr>
          <w:rFonts w:ascii="宋体" w:hAnsi="宋体"/>
          <w:sz w:val="24"/>
          <w:szCs w:val="24"/>
        </w:rPr>
      </w:pPr>
      <w:bookmarkStart w:id="5" w:name="_Toc457481147"/>
      <w:r>
        <w:rPr>
          <w:rStyle w:val="39"/>
          <w:rFonts w:hint="eastAsia"/>
        </w:rPr>
        <w:t>2．投标文件构成</w:t>
      </w:r>
      <w:bookmarkEnd w:id="5"/>
      <w:r>
        <w:rPr>
          <w:rStyle w:val="39"/>
          <w:rFonts w:hint="eastAsia"/>
        </w:rPr>
        <w:t xml:space="preserve"> </w:t>
      </w:r>
    </w:p>
    <w:p>
      <w:pPr>
        <w:spacing w:line="480" w:lineRule="exact"/>
        <w:rPr>
          <w:rFonts w:ascii="宋体" w:hAnsi="宋体"/>
          <w:sz w:val="24"/>
          <w:szCs w:val="24"/>
        </w:rPr>
      </w:pPr>
      <w:r>
        <w:rPr>
          <w:rFonts w:hint="eastAsia" w:ascii="宋体" w:hAnsi="宋体"/>
          <w:sz w:val="24"/>
          <w:szCs w:val="24"/>
        </w:rPr>
        <w:t xml:space="preserve">2.1 投标人编写的投标文件应包括下列部分： </w:t>
      </w:r>
    </w:p>
    <w:p>
      <w:pPr>
        <w:spacing w:line="480" w:lineRule="exact"/>
        <w:rPr>
          <w:rFonts w:ascii="宋体" w:hAnsi="宋体"/>
          <w:sz w:val="24"/>
          <w:szCs w:val="24"/>
        </w:rPr>
      </w:pPr>
      <w:r>
        <w:rPr>
          <w:rFonts w:hint="eastAsia" w:ascii="宋体" w:hAnsi="宋体"/>
          <w:sz w:val="24"/>
          <w:szCs w:val="24"/>
        </w:rPr>
        <w:t xml:space="preserve">（a）投标书  </w:t>
      </w:r>
    </w:p>
    <w:p>
      <w:pPr>
        <w:spacing w:line="480" w:lineRule="exact"/>
        <w:rPr>
          <w:rFonts w:ascii="宋体" w:hAnsi="宋体"/>
          <w:sz w:val="24"/>
          <w:szCs w:val="24"/>
        </w:rPr>
      </w:pPr>
      <w:r>
        <w:rPr>
          <w:rFonts w:hint="eastAsia" w:ascii="宋体" w:hAnsi="宋体"/>
          <w:sz w:val="24"/>
          <w:szCs w:val="24"/>
        </w:rPr>
        <w:t>（b）投标报价一览表</w:t>
      </w:r>
    </w:p>
    <w:p>
      <w:pPr>
        <w:spacing w:line="480" w:lineRule="exact"/>
        <w:rPr>
          <w:rFonts w:ascii="宋体" w:hAnsi="宋体"/>
          <w:sz w:val="24"/>
          <w:szCs w:val="24"/>
        </w:rPr>
      </w:pPr>
      <w:r>
        <w:rPr>
          <w:rFonts w:hint="eastAsia" w:ascii="宋体" w:hAnsi="宋体"/>
          <w:sz w:val="24"/>
          <w:szCs w:val="24"/>
        </w:rPr>
        <w:t>（c）法定代表人资格证明书和法定代表人授权委托书</w:t>
      </w:r>
    </w:p>
    <w:p>
      <w:pPr>
        <w:spacing w:line="480" w:lineRule="exact"/>
        <w:rPr>
          <w:rFonts w:ascii="宋体" w:hAnsi="宋体"/>
          <w:sz w:val="24"/>
          <w:szCs w:val="24"/>
        </w:rPr>
      </w:pPr>
      <w:r>
        <w:rPr>
          <w:rFonts w:hint="eastAsia" w:ascii="宋体" w:hAnsi="宋体"/>
          <w:sz w:val="24"/>
          <w:szCs w:val="24"/>
        </w:rPr>
        <w:t xml:space="preserve">（d）资格审查文件  </w:t>
      </w:r>
    </w:p>
    <w:p>
      <w:pPr>
        <w:spacing w:line="480" w:lineRule="exact"/>
        <w:rPr>
          <w:rFonts w:hint="eastAsia" w:ascii="宋体" w:hAnsi="宋体"/>
          <w:sz w:val="24"/>
          <w:szCs w:val="24"/>
        </w:rPr>
      </w:pPr>
      <w:r>
        <w:rPr>
          <w:rFonts w:hint="eastAsia" w:ascii="宋体" w:hAnsi="宋体"/>
          <w:sz w:val="24"/>
          <w:szCs w:val="24"/>
        </w:rPr>
        <w:t>（e ）</w:t>
      </w:r>
      <w:r>
        <w:rPr>
          <w:rFonts w:hint="eastAsia" w:ascii="宋体" w:hAnsi="宋体"/>
          <w:sz w:val="24"/>
          <w:szCs w:val="24"/>
          <w:lang w:eastAsia="zh-CN"/>
        </w:rPr>
        <w:t>第三方监测及主体沉降观测技术</w:t>
      </w:r>
      <w:r>
        <w:rPr>
          <w:rFonts w:hint="eastAsia" w:ascii="宋体" w:hAnsi="宋体"/>
          <w:sz w:val="24"/>
          <w:szCs w:val="24"/>
        </w:rPr>
        <w:t>方案</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1</w:t>
      </w:r>
      <w:r>
        <w:rPr>
          <w:rFonts w:hint="eastAsia" w:ascii="宋体" w:hAnsi="宋体"/>
          <w:sz w:val="24"/>
          <w:szCs w:val="24"/>
          <w:lang w:eastAsia="zh-CN"/>
        </w:rPr>
        <w:t>、对本项目难点和重点的理解和分析</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2、对本项目难点和重点的技术建议和措施</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3、软基工程监测方案及基坑支护监测方案</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4、主体沉降观测方案</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5、施工控制点测量方案</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6、人员配备</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7、技术人员配备和素质</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8、设备仪器</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9、数据处理分析及成果运用</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10、工期保证措施</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11、质量保障措施</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12、后续服务</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13、应急处理</w:t>
      </w:r>
    </w:p>
    <w:p>
      <w:p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 xml:space="preserve">14、合理化建议     </w:t>
      </w:r>
    </w:p>
    <w:p>
      <w:pPr>
        <w:spacing w:line="480" w:lineRule="exact"/>
        <w:rPr>
          <w:rFonts w:ascii="宋体" w:hAnsi="宋体"/>
          <w:sz w:val="24"/>
          <w:szCs w:val="24"/>
        </w:rPr>
      </w:pPr>
      <w:r>
        <w:rPr>
          <w:rFonts w:hint="eastAsia" w:ascii="宋体" w:hAnsi="宋体"/>
          <w:sz w:val="24"/>
          <w:szCs w:val="24"/>
        </w:rPr>
        <w:t>（f）投标人认为需提供的其他有关文件</w:t>
      </w:r>
    </w:p>
    <w:p>
      <w:pPr>
        <w:spacing w:line="480" w:lineRule="exact"/>
        <w:rPr>
          <w:rFonts w:ascii="宋体" w:hAnsi="宋体"/>
          <w:sz w:val="24"/>
          <w:szCs w:val="24"/>
        </w:rPr>
      </w:pPr>
      <w:bookmarkStart w:id="6" w:name="_Toc457481148"/>
      <w:r>
        <w:rPr>
          <w:rStyle w:val="39"/>
          <w:rFonts w:hint="eastAsia"/>
        </w:rPr>
        <w:t>3．投标文件格式</w:t>
      </w:r>
      <w:bookmarkEnd w:id="6"/>
    </w:p>
    <w:p>
      <w:pPr>
        <w:spacing w:line="480" w:lineRule="exact"/>
        <w:rPr>
          <w:rFonts w:ascii="宋体" w:hAnsi="宋体"/>
          <w:sz w:val="24"/>
          <w:szCs w:val="24"/>
        </w:rPr>
      </w:pPr>
      <w:r>
        <w:rPr>
          <w:rFonts w:hint="eastAsia" w:ascii="宋体" w:hAnsi="宋体"/>
          <w:sz w:val="24"/>
          <w:szCs w:val="24"/>
        </w:rPr>
        <w:t xml:space="preserve">3.1 投标人应按招标文件第二部分的第一章第2条的内容与要求和第四部分提供的格式编写其投标文件，投标人不得缺少或留空任何招标文件要求填写的表格或提交的资料。  </w:t>
      </w:r>
    </w:p>
    <w:p>
      <w:pPr>
        <w:spacing w:line="480" w:lineRule="exact"/>
        <w:rPr>
          <w:rFonts w:ascii="宋体" w:hAnsi="宋体"/>
          <w:sz w:val="24"/>
          <w:szCs w:val="24"/>
        </w:rPr>
      </w:pPr>
      <w:r>
        <w:rPr>
          <w:rFonts w:hint="eastAsia" w:ascii="宋体" w:hAnsi="宋体"/>
          <w:sz w:val="24"/>
          <w:szCs w:val="24"/>
        </w:rPr>
        <w:t>3.2投标人应将投标文件按招标文件第四部分的顺序编排、并应编制目录、逐页标注连续页码，并装订成册。</w:t>
      </w:r>
    </w:p>
    <w:p>
      <w:pPr>
        <w:pStyle w:val="3"/>
      </w:pPr>
      <w:bookmarkStart w:id="7" w:name="_Toc457481149"/>
      <w:r>
        <w:rPr>
          <w:rFonts w:hint="eastAsia"/>
        </w:rPr>
        <w:t>4．投标报价</w:t>
      </w:r>
      <w:bookmarkEnd w:id="7"/>
    </w:p>
    <w:p>
      <w:pPr>
        <w:spacing w:line="480" w:lineRule="exact"/>
        <w:rPr>
          <w:rFonts w:ascii="宋体" w:hAnsi="宋体"/>
          <w:kern w:val="0"/>
          <w:sz w:val="24"/>
          <w:szCs w:val="24"/>
          <w:u w:val="none"/>
        </w:rPr>
      </w:pPr>
      <w:r>
        <w:rPr>
          <w:rFonts w:hint="eastAsia" w:ascii="宋体" w:hAnsi="宋体"/>
          <w:kern w:val="0"/>
          <w:sz w:val="24"/>
          <w:szCs w:val="24"/>
          <w:u w:val="none"/>
          <w:lang w:eastAsia="zh-CN"/>
        </w:rPr>
        <w:t>（</w:t>
      </w:r>
      <w:r>
        <w:rPr>
          <w:rFonts w:hint="eastAsia" w:ascii="宋体" w:hAnsi="宋体"/>
          <w:kern w:val="0"/>
          <w:sz w:val="24"/>
          <w:szCs w:val="24"/>
          <w:u w:val="none"/>
          <w:lang w:val="en-US" w:eastAsia="zh-CN"/>
        </w:rPr>
        <w:t>1</w:t>
      </w:r>
      <w:r>
        <w:rPr>
          <w:rFonts w:hint="eastAsia" w:ascii="宋体" w:hAnsi="宋体"/>
          <w:kern w:val="0"/>
          <w:sz w:val="24"/>
          <w:szCs w:val="24"/>
          <w:u w:val="none"/>
          <w:lang w:eastAsia="zh-CN"/>
        </w:rPr>
        <w:t>）</w:t>
      </w:r>
      <w:r>
        <w:rPr>
          <w:rFonts w:hint="eastAsia" w:ascii="宋体" w:hAnsi="宋体"/>
          <w:kern w:val="0"/>
          <w:sz w:val="24"/>
          <w:szCs w:val="24"/>
          <w:u w:val="none"/>
        </w:rPr>
        <w:t>工程招标控制价暂定人民币</w:t>
      </w:r>
      <w:r>
        <w:rPr>
          <w:rFonts w:hint="eastAsia" w:ascii="宋体" w:hAnsi="宋体"/>
          <w:kern w:val="0"/>
          <w:sz w:val="24"/>
          <w:szCs w:val="24"/>
          <w:u w:val="none"/>
          <w:lang w:val="en-US" w:eastAsia="zh-CN"/>
        </w:rPr>
        <w:t>19.9</w:t>
      </w:r>
      <w:r>
        <w:rPr>
          <w:rFonts w:ascii="宋体" w:hAnsi="宋体"/>
          <w:kern w:val="0"/>
          <w:sz w:val="24"/>
          <w:szCs w:val="24"/>
          <w:u w:val="none"/>
        </w:rPr>
        <w:t>万元，由投标人进行自主报价。无具体报价或报价超过招标控制价，均按废标处理。投标人应根据图纸、投标人自主编制的监测方案、现行收费标准及自身条件等进行报价，附投标报价清单。</w:t>
      </w:r>
    </w:p>
    <w:p>
      <w:pPr>
        <w:spacing w:line="480" w:lineRule="exact"/>
        <w:rPr>
          <w:rFonts w:ascii="宋体" w:hAnsi="宋体"/>
          <w:b/>
          <w:sz w:val="24"/>
          <w:szCs w:val="24"/>
        </w:rPr>
      </w:pPr>
      <w:r>
        <w:rPr>
          <w:rFonts w:hint="eastAsia" w:ascii="宋体" w:hAnsi="宋体"/>
          <w:sz w:val="24"/>
          <w:szCs w:val="24"/>
        </w:rPr>
        <w:t>（</w:t>
      </w:r>
      <w:r>
        <w:rPr>
          <w:rFonts w:hint="eastAsia" w:ascii="宋体" w:hAnsi="宋体"/>
          <w:sz w:val="24"/>
          <w:szCs w:val="24"/>
          <w:lang w:val="en-US" w:eastAsia="zh-CN"/>
        </w:rPr>
        <w:t>2</w:t>
      </w:r>
      <w:r>
        <w:rPr>
          <w:rFonts w:hint="eastAsia" w:ascii="宋体" w:hAnsi="宋体"/>
          <w:sz w:val="24"/>
          <w:szCs w:val="24"/>
        </w:rPr>
        <w:t>）投标报价应是为完成本招标文件所确定的招标范围并满足本次招标文件各项要求的全部所需生产设备、劳务、管理、材料、检测、包装、装卸、运输、利润、配合费、税金及政策性文件规定的各种应有的全部费用；</w:t>
      </w:r>
    </w:p>
    <w:p>
      <w:pPr>
        <w:pStyle w:val="3"/>
      </w:pPr>
      <w:bookmarkStart w:id="8" w:name="_Toc457481150"/>
      <w:r>
        <w:rPr>
          <w:rFonts w:hint="eastAsia"/>
        </w:rPr>
        <w:t>5．投标货币</w:t>
      </w:r>
      <w:bookmarkEnd w:id="8"/>
    </w:p>
    <w:p>
      <w:pPr>
        <w:spacing w:line="480" w:lineRule="exact"/>
        <w:rPr>
          <w:rFonts w:ascii="宋体" w:hAnsi="宋体"/>
          <w:sz w:val="24"/>
          <w:szCs w:val="24"/>
        </w:rPr>
      </w:pPr>
      <w:r>
        <w:rPr>
          <w:rFonts w:hint="eastAsia" w:ascii="宋体" w:hAnsi="宋体"/>
          <w:sz w:val="24"/>
          <w:szCs w:val="24"/>
        </w:rPr>
        <w:t>5.1 投标人提供的服务一律用人民币报价。</w:t>
      </w:r>
    </w:p>
    <w:p>
      <w:pPr>
        <w:pStyle w:val="3"/>
      </w:pPr>
      <w:bookmarkStart w:id="9" w:name="_Toc359220886"/>
      <w:bookmarkStart w:id="10" w:name="_Toc370479364"/>
      <w:bookmarkStart w:id="11" w:name="_Toc457481151"/>
      <w:bookmarkStart w:id="12" w:name="_Toc358279535"/>
      <w:bookmarkStart w:id="13" w:name="_Toc358217732"/>
      <w:bookmarkStart w:id="14" w:name="_Toc358217538"/>
      <w:bookmarkStart w:id="15" w:name="_Toc344296890"/>
      <w:bookmarkStart w:id="16" w:name="_Toc334438631"/>
      <w:bookmarkStart w:id="17" w:name="_Toc334436372"/>
      <w:bookmarkStart w:id="18" w:name="_Toc334451808"/>
      <w:bookmarkStart w:id="19" w:name="_Toc334438444"/>
      <w:bookmarkStart w:id="20" w:name="_Toc334451989"/>
      <w:bookmarkStart w:id="21" w:name="_Toc334112113"/>
      <w:bookmarkStart w:id="22" w:name="_Toc334455094"/>
      <w:r>
        <w:rPr>
          <w:rFonts w:hint="eastAsia"/>
        </w:rPr>
        <w:t xml:space="preserve">6. </w:t>
      </w:r>
      <w:r>
        <w:t>投标文件的递交</w:t>
      </w:r>
      <w:bookmarkEnd w:id="9"/>
      <w:bookmarkEnd w:id="10"/>
      <w:bookmarkEnd w:id="11"/>
      <w:bookmarkEnd w:id="12"/>
      <w:bookmarkEnd w:id="13"/>
      <w:bookmarkEnd w:id="14"/>
      <w:bookmarkEnd w:id="15"/>
      <w:bookmarkEnd w:id="16"/>
      <w:bookmarkEnd w:id="17"/>
      <w:bookmarkEnd w:id="18"/>
      <w:bookmarkEnd w:id="19"/>
      <w:bookmarkEnd w:id="20"/>
      <w:bookmarkEnd w:id="21"/>
      <w:bookmarkEnd w:id="22"/>
    </w:p>
    <w:p>
      <w:pPr>
        <w:spacing w:line="480" w:lineRule="exact"/>
        <w:rPr>
          <w:rFonts w:ascii="宋体" w:hAnsi="宋体"/>
          <w:sz w:val="24"/>
          <w:szCs w:val="24"/>
        </w:rPr>
      </w:pPr>
      <w:bookmarkStart w:id="23" w:name="_Toc358217539"/>
      <w:bookmarkStart w:id="24" w:name="_Toc344296891"/>
      <w:bookmarkStart w:id="25" w:name="_Toc334455095"/>
      <w:bookmarkStart w:id="26" w:name="_Toc334436373"/>
      <w:bookmarkStart w:id="27" w:name="_Toc334438445"/>
      <w:bookmarkStart w:id="28" w:name="_Toc334112115"/>
      <w:bookmarkStart w:id="29" w:name="_Toc334438632"/>
      <w:bookmarkStart w:id="30" w:name="_Toc334451809"/>
      <w:bookmarkStart w:id="31" w:name="_Toc334451990"/>
      <w:bookmarkStart w:id="32" w:name="_Toc358217733"/>
      <w:bookmarkStart w:id="33" w:name="_Toc359220887"/>
      <w:bookmarkStart w:id="34" w:name="_Toc370479365"/>
      <w:bookmarkStart w:id="35" w:name="_Toc358279536"/>
      <w:r>
        <w:rPr>
          <w:rFonts w:hint="eastAsia" w:ascii="宋体" w:hAnsi="宋体"/>
          <w:sz w:val="24"/>
          <w:szCs w:val="24"/>
        </w:rPr>
        <w:t>6.1投标文件的密封和标记</w:t>
      </w:r>
      <w:bookmarkEnd w:id="23"/>
      <w:bookmarkEnd w:id="24"/>
      <w:bookmarkEnd w:id="25"/>
      <w:bookmarkEnd w:id="26"/>
      <w:bookmarkEnd w:id="27"/>
      <w:bookmarkEnd w:id="28"/>
      <w:bookmarkEnd w:id="29"/>
      <w:bookmarkEnd w:id="30"/>
      <w:bookmarkEnd w:id="31"/>
      <w:bookmarkEnd w:id="32"/>
      <w:bookmarkEnd w:id="33"/>
      <w:bookmarkEnd w:id="34"/>
      <w:bookmarkEnd w:id="35"/>
    </w:p>
    <w:p>
      <w:pPr>
        <w:spacing w:line="480" w:lineRule="exact"/>
        <w:rPr>
          <w:rFonts w:ascii="宋体" w:hAnsi="宋体"/>
          <w:sz w:val="24"/>
          <w:szCs w:val="24"/>
        </w:rPr>
      </w:pPr>
      <w:r>
        <w:rPr>
          <w:rFonts w:hint="eastAsia" w:ascii="宋体" w:hAnsi="宋体"/>
          <w:sz w:val="24"/>
          <w:szCs w:val="24"/>
        </w:rPr>
        <w:t>投标人应将投标书装在一个密封袋中；标书都应正确标明“正本”或“副本”；单独封口，由法定代表人或法定代表人授权委托人跨过封口签名或盖法定代表人或法定代表人授权委托人印章并加盖公章。</w:t>
      </w:r>
    </w:p>
    <w:p>
      <w:pPr>
        <w:spacing w:line="480" w:lineRule="exact"/>
        <w:rPr>
          <w:rFonts w:ascii="宋体" w:hAnsi="宋体"/>
          <w:sz w:val="24"/>
          <w:szCs w:val="24"/>
        </w:rPr>
      </w:pPr>
      <w:r>
        <w:rPr>
          <w:rFonts w:hint="eastAsia" w:ascii="宋体" w:hAnsi="宋体"/>
          <w:sz w:val="24"/>
          <w:szCs w:val="24"/>
        </w:rPr>
        <w:t>所有密封袋的封皮正面都应注明招标工程名称、以及文件名称字样。</w:t>
      </w:r>
    </w:p>
    <w:p>
      <w:pPr>
        <w:spacing w:line="480" w:lineRule="exact"/>
        <w:rPr>
          <w:rFonts w:ascii="宋体" w:hAnsi="宋体"/>
          <w:sz w:val="24"/>
          <w:szCs w:val="24"/>
        </w:rPr>
      </w:pPr>
      <w:r>
        <w:rPr>
          <w:rFonts w:hint="eastAsia" w:ascii="宋体" w:hAnsi="宋体"/>
          <w:sz w:val="24"/>
          <w:szCs w:val="24"/>
        </w:rPr>
        <w:t>所有内、外层密封袋封口处都应注明：“201</w:t>
      </w:r>
      <w:r>
        <w:rPr>
          <w:rFonts w:hint="eastAsia" w:ascii="宋体" w:hAnsi="宋体"/>
          <w:sz w:val="24"/>
          <w:szCs w:val="24"/>
          <w:lang w:val="en-US" w:eastAsia="zh-CN"/>
        </w:rPr>
        <w:t>7</w:t>
      </w:r>
      <w:r>
        <w:rPr>
          <w:rFonts w:hint="eastAsia" w:ascii="宋体" w:hAnsi="宋体"/>
          <w:sz w:val="24"/>
          <w:szCs w:val="24"/>
        </w:rPr>
        <w:t xml:space="preserve">年 </w:t>
      </w:r>
      <w:r>
        <w:rPr>
          <w:rFonts w:hint="eastAsia" w:ascii="宋体" w:hAnsi="宋体"/>
          <w:sz w:val="24"/>
          <w:szCs w:val="24"/>
          <w:lang w:val="en-US" w:eastAsia="zh-CN"/>
        </w:rPr>
        <w:t>4</w:t>
      </w:r>
      <w:r>
        <w:rPr>
          <w:rFonts w:hint="eastAsia" w:ascii="宋体" w:hAnsi="宋体"/>
          <w:sz w:val="24"/>
          <w:szCs w:val="24"/>
        </w:rPr>
        <w:t xml:space="preserve"> 月</w:t>
      </w:r>
      <w:r>
        <w:rPr>
          <w:rFonts w:hint="eastAsia" w:ascii="宋体" w:hAnsi="宋体"/>
          <w:sz w:val="24"/>
          <w:szCs w:val="24"/>
          <w:lang w:val="en-US" w:eastAsia="zh-CN"/>
        </w:rPr>
        <w:t xml:space="preserve"> 28</w:t>
      </w:r>
      <w:r>
        <w:rPr>
          <w:rFonts w:hint="eastAsia" w:ascii="宋体" w:hAnsi="宋体"/>
          <w:sz w:val="24"/>
          <w:szCs w:val="24"/>
        </w:rPr>
        <w:t xml:space="preserve">日 上午 </w:t>
      </w:r>
      <w:r>
        <w:rPr>
          <w:rFonts w:hint="eastAsia" w:ascii="宋体" w:hAnsi="宋体"/>
          <w:sz w:val="24"/>
          <w:szCs w:val="24"/>
          <w:lang w:val="en-US" w:eastAsia="zh-CN"/>
        </w:rPr>
        <w:t>10</w:t>
      </w:r>
      <w:r>
        <w:rPr>
          <w:rFonts w:hint="eastAsia" w:ascii="宋体" w:hAnsi="宋体"/>
          <w:sz w:val="24"/>
          <w:szCs w:val="24"/>
        </w:rPr>
        <w:t xml:space="preserve"> 时  </w:t>
      </w:r>
      <w:r>
        <w:rPr>
          <w:rFonts w:hint="eastAsia" w:ascii="宋体" w:hAnsi="宋体"/>
          <w:sz w:val="24"/>
          <w:szCs w:val="24"/>
          <w:lang w:val="en-US" w:eastAsia="zh-CN"/>
        </w:rPr>
        <w:t>00</w:t>
      </w:r>
      <w:r>
        <w:rPr>
          <w:rFonts w:hint="eastAsia" w:ascii="宋体" w:hAnsi="宋体"/>
          <w:sz w:val="24"/>
          <w:szCs w:val="24"/>
        </w:rPr>
        <w:t xml:space="preserve"> 分开标，此时间之前不得开封”字样。</w:t>
      </w:r>
    </w:p>
    <w:p>
      <w:pPr>
        <w:spacing w:line="480" w:lineRule="exact"/>
        <w:rPr>
          <w:rFonts w:ascii="宋体" w:hAnsi="宋体"/>
          <w:sz w:val="24"/>
          <w:szCs w:val="24"/>
        </w:rPr>
      </w:pPr>
      <w:r>
        <w:rPr>
          <w:rFonts w:hint="eastAsia" w:ascii="宋体" w:hAnsi="宋体"/>
          <w:sz w:val="24"/>
          <w:szCs w:val="24"/>
        </w:rPr>
        <w:t>所有密封和包装不得破损、污损。</w:t>
      </w:r>
    </w:p>
    <w:p>
      <w:pPr>
        <w:spacing w:line="480" w:lineRule="exact"/>
        <w:rPr>
          <w:rFonts w:ascii="宋体" w:hAnsi="宋体"/>
          <w:sz w:val="24"/>
          <w:szCs w:val="24"/>
        </w:rPr>
      </w:pPr>
      <w:r>
        <w:rPr>
          <w:rFonts w:hint="eastAsia" w:ascii="宋体" w:hAnsi="宋体"/>
          <w:sz w:val="24"/>
          <w:szCs w:val="24"/>
        </w:rPr>
        <w:t>正面须注明投标人的名称、地址和邮编。</w:t>
      </w:r>
    </w:p>
    <w:p>
      <w:pPr>
        <w:spacing w:line="480" w:lineRule="exact"/>
        <w:rPr>
          <w:rFonts w:ascii="宋体" w:hAnsi="宋体"/>
          <w:sz w:val="24"/>
          <w:szCs w:val="24"/>
        </w:rPr>
      </w:pPr>
      <w:r>
        <w:rPr>
          <w:rFonts w:hint="eastAsia" w:ascii="宋体" w:hAnsi="宋体"/>
          <w:sz w:val="24"/>
          <w:szCs w:val="24"/>
        </w:rPr>
        <w:t>招标人将不承担投标文件错放的责任，招标人在接收投标文件时如已开封，将予以拒绝，并退还给投标人。</w:t>
      </w:r>
    </w:p>
    <w:p>
      <w:pPr>
        <w:spacing w:line="480" w:lineRule="exact"/>
        <w:rPr>
          <w:rFonts w:ascii="宋体" w:hAnsi="宋体"/>
          <w:sz w:val="24"/>
          <w:szCs w:val="24"/>
        </w:rPr>
      </w:pPr>
      <w:bookmarkStart w:id="36" w:name="_Toc334112117"/>
      <w:bookmarkStart w:id="37" w:name="_Toc344296892"/>
      <w:bookmarkStart w:id="38" w:name="_Toc370479366"/>
      <w:bookmarkStart w:id="39" w:name="_Toc359220888"/>
      <w:bookmarkStart w:id="40" w:name="_Toc358279537"/>
      <w:bookmarkStart w:id="41" w:name="_Toc358217734"/>
      <w:bookmarkStart w:id="42" w:name="_Toc358217540"/>
      <w:bookmarkStart w:id="43" w:name="_Toc334436374"/>
      <w:bookmarkStart w:id="44" w:name="_Toc334438446"/>
      <w:bookmarkStart w:id="45" w:name="_Toc334438633"/>
      <w:bookmarkStart w:id="46" w:name="_Toc334451991"/>
      <w:bookmarkStart w:id="47" w:name="_Toc334455096"/>
      <w:bookmarkStart w:id="48" w:name="_Toc334451810"/>
      <w:r>
        <w:rPr>
          <w:rFonts w:hint="eastAsia" w:ascii="宋体" w:hAnsi="宋体"/>
          <w:sz w:val="24"/>
          <w:szCs w:val="24"/>
        </w:rPr>
        <w:t>6.2投标截止时间</w:t>
      </w:r>
      <w:bookmarkEnd w:id="36"/>
      <w:bookmarkEnd w:id="37"/>
      <w:bookmarkEnd w:id="38"/>
      <w:bookmarkEnd w:id="39"/>
      <w:bookmarkEnd w:id="40"/>
      <w:bookmarkEnd w:id="41"/>
      <w:bookmarkEnd w:id="42"/>
      <w:bookmarkEnd w:id="43"/>
      <w:bookmarkEnd w:id="44"/>
      <w:bookmarkEnd w:id="45"/>
      <w:bookmarkEnd w:id="46"/>
      <w:bookmarkEnd w:id="47"/>
      <w:bookmarkEnd w:id="48"/>
    </w:p>
    <w:p>
      <w:pPr>
        <w:spacing w:line="480" w:lineRule="exact"/>
        <w:rPr>
          <w:rFonts w:ascii="宋体" w:hAnsi="宋体"/>
          <w:sz w:val="24"/>
          <w:szCs w:val="24"/>
        </w:rPr>
      </w:pPr>
      <w:r>
        <w:rPr>
          <w:rFonts w:hint="eastAsia" w:ascii="宋体" w:hAnsi="宋体"/>
          <w:sz w:val="24"/>
          <w:szCs w:val="24"/>
        </w:rPr>
        <w:t>投标截止时间详见投标须知前附表。投标人应在《招标公告》中规定的截止日期和时间将投标文件递交至《招标公告》中指明的地址。</w:t>
      </w:r>
    </w:p>
    <w:p>
      <w:pPr>
        <w:spacing w:line="480" w:lineRule="exact"/>
        <w:rPr>
          <w:rFonts w:ascii="宋体" w:hAnsi="宋体"/>
          <w:sz w:val="24"/>
          <w:szCs w:val="24"/>
        </w:rPr>
      </w:pPr>
      <w:r>
        <w:rPr>
          <w:rFonts w:hint="eastAsia" w:ascii="宋体" w:hAnsi="宋体"/>
          <w:sz w:val="24"/>
          <w:szCs w:val="24"/>
        </w:rPr>
        <w:t>超过投标截止时间送达的任何投标文件为无效投标文件，招标人有权拒收。</w:t>
      </w:r>
    </w:p>
    <w:p>
      <w:pPr>
        <w:spacing w:line="480" w:lineRule="exact"/>
        <w:rPr>
          <w:rFonts w:ascii="宋体" w:hAnsi="宋体"/>
          <w:sz w:val="24"/>
          <w:szCs w:val="24"/>
        </w:rPr>
      </w:pPr>
      <w:bookmarkStart w:id="49" w:name="_Toc334438447"/>
      <w:bookmarkStart w:id="50" w:name="_Toc334438634"/>
      <w:bookmarkStart w:id="51" w:name="_Toc334451811"/>
      <w:bookmarkStart w:id="52" w:name="_Toc370479367"/>
      <w:bookmarkStart w:id="53" w:name="_Toc359220889"/>
      <w:bookmarkStart w:id="54" w:name="_Toc358279538"/>
      <w:bookmarkStart w:id="55" w:name="_Toc358217735"/>
      <w:bookmarkStart w:id="56" w:name="_Toc358217541"/>
      <w:bookmarkStart w:id="57" w:name="_Toc344296893"/>
      <w:bookmarkStart w:id="58" w:name="_Toc334455097"/>
      <w:bookmarkStart w:id="59" w:name="_Toc334451992"/>
      <w:bookmarkStart w:id="60" w:name="_Toc334436375"/>
      <w:bookmarkStart w:id="61" w:name="_Toc334112119"/>
      <w:r>
        <w:rPr>
          <w:rFonts w:hint="eastAsia" w:ascii="宋体" w:hAnsi="宋体"/>
          <w:sz w:val="24"/>
          <w:szCs w:val="24"/>
        </w:rPr>
        <w:t>6.3投标文件的修改与撤回</w:t>
      </w:r>
      <w:bookmarkEnd w:id="49"/>
      <w:bookmarkEnd w:id="50"/>
      <w:bookmarkEnd w:id="51"/>
      <w:bookmarkEnd w:id="52"/>
      <w:bookmarkEnd w:id="53"/>
      <w:bookmarkEnd w:id="54"/>
      <w:bookmarkEnd w:id="55"/>
      <w:bookmarkEnd w:id="56"/>
      <w:bookmarkEnd w:id="57"/>
      <w:bookmarkEnd w:id="58"/>
      <w:bookmarkEnd w:id="59"/>
      <w:bookmarkEnd w:id="60"/>
      <w:bookmarkEnd w:id="61"/>
    </w:p>
    <w:p>
      <w:pPr>
        <w:spacing w:line="480" w:lineRule="exact"/>
        <w:rPr>
          <w:rFonts w:ascii="宋体" w:hAnsi="宋体"/>
          <w:sz w:val="24"/>
          <w:szCs w:val="24"/>
        </w:rPr>
      </w:pPr>
      <w:r>
        <w:rPr>
          <w:rFonts w:hint="eastAsia" w:ascii="宋体" w:hAnsi="宋体"/>
          <w:sz w:val="24"/>
          <w:szCs w:val="24"/>
        </w:rPr>
        <w:t>投标人可以在递交投标文件以后，修改或撤回其投标文件。但这种修改与撤回的通知应在《招标公告》规定的投标截止时间前送达招标人，并得到招标人的书面确认。</w:t>
      </w:r>
    </w:p>
    <w:p>
      <w:pPr>
        <w:spacing w:line="480" w:lineRule="exact"/>
        <w:rPr>
          <w:rFonts w:ascii="宋体" w:hAnsi="宋体"/>
          <w:sz w:val="24"/>
          <w:szCs w:val="24"/>
        </w:rPr>
      </w:pPr>
      <w:r>
        <w:rPr>
          <w:rFonts w:hint="eastAsia" w:ascii="宋体" w:hAnsi="宋体"/>
          <w:sz w:val="24"/>
          <w:szCs w:val="24"/>
        </w:rPr>
        <w:t>投标人的修改或撤回通知应按第二部分 6.1“投标文件的密封和标记”关于投标文件递交的规定备制、密封、标志和递交，另外还应在密封袋上标明“修改”或“撤回”字样。撤回通知也可以电报或传真，但必须同时寄出一份投标人代表签字的证实原件。</w:t>
      </w:r>
    </w:p>
    <w:p>
      <w:pPr>
        <w:spacing w:line="480" w:lineRule="exact"/>
        <w:rPr>
          <w:rFonts w:ascii="宋体" w:hAnsi="宋体"/>
          <w:sz w:val="24"/>
          <w:szCs w:val="24"/>
        </w:rPr>
      </w:pPr>
      <w:r>
        <w:rPr>
          <w:rFonts w:hint="eastAsia" w:ascii="宋体" w:hAnsi="宋体"/>
          <w:sz w:val="24"/>
          <w:szCs w:val="24"/>
        </w:rPr>
        <w:t>6.4投标文件在投标截止时间之后不能修改或补充。</w:t>
      </w:r>
    </w:p>
    <w:p>
      <w:pPr>
        <w:spacing w:line="480" w:lineRule="exact"/>
        <w:rPr>
          <w:rFonts w:ascii="宋体" w:hAnsi="宋体"/>
          <w:sz w:val="24"/>
          <w:szCs w:val="24"/>
        </w:rPr>
      </w:pPr>
      <w:r>
        <w:rPr>
          <w:rFonts w:hint="eastAsia" w:ascii="宋体" w:hAnsi="宋体"/>
          <w:sz w:val="24"/>
          <w:szCs w:val="24"/>
        </w:rPr>
        <w:t>投标文件在投标截止时间至投标人在投标表格中写明的投标有效期终止之日之间不能撤回。</w:t>
      </w:r>
    </w:p>
    <w:p>
      <w:pPr>
        <w:pStyle w:val="3"/>
      </w:pPr>
      <w:bookmarkStart w:id="62" w:name="_Toc457481152"/>
      <w:r>
        <w:rPr>
          <w:rFonts w:hint="eastAsia"/>
        </w:rPr>
        <w:t>7．证明投标人合格和资格的文件</w:t>
      </w:r>
      <w:bookmarkEnd w:id="62"/>
    </w:p>
    <w:p>
      <w:pPr>
        <w:spacing w:line="480" w:lineRule="exact"/>
        <w:rPr>
          <w:rFonts w:ascii="宋体" w:hAnsi="宋体"/>
          <w:sz w:val="24"/>
          <w:szCs w:val="24"/>
        </w:rPr>
      </w:pPr>
      <w:r>
        <w:rPr>
          <w:rFonts w:hint="eastAsia" w:ascii="宋体" w:hAnsi="宋体"/>
          <w:sz w:val="24"/>
          <w:szCs w:val="24"/>
        </w:rPr>
        <w:t xml:space="preserve">7.1 投标人应提交证明其有资格参加投标和中标后有能力履行合同的文件，并作为其投标文件的一部分。 </w:t>
      </w:r>
    </w:p>
    <w:p>
      <w:pPr>
        <w:spacing w:line="480" w:lineRule="exact"/>
        <w:rPr>
          <w:rFonts w:ascii="宋体" w:hAnsi="宋体"/>
          <w:sz w:val="24"/>
          <w:szCs w:val="24"/>
        </w:rPr>
      </w:pPr>
      <w:r>
        <w:rPr>
          <w:rFonts w:hint="eastAsia" w:ascii="宋体" w:hAnsi="宋体"/>
          <w:sz w:val="24"/>
          <w:szCs w:val="24"/>
        </w:rPr>
        <w:t>7.2 投标人提交的证明其中标后能履行合同的资格证明文件应使招标方满意，即</w:t>
      </w:r>
    </w:p>
    <w:p>
      <w:pPr>
        <w:spacing w:line="480" w:lineRule="exact"/>
        <w:ind w:firstLine="324" w:firstLineChars="135"/>
        <w:rPr>
          <w:rFonts w:ascii="宋体" w:hAnsi="宋体"/>
          <w:sz w:val="24"/>
          <w:szCs w:val="24"/>
        </w:rPr>
      </w:pPr>
      <w:r>
        <w:rPr>
          <w:rFonts w:hint="eastAsia" w:ascii="宋体" w:hAnsi="宋体"/>
          <w:sz w:val="24"/>
          <w:szCs w:val="24"/>
        </w:rPr>
        <w:t xml:space="preserve">  1) 投标人已具备履行合同所需的财务、技术和服务能力；</w:t>
      </w:r>
    </w:p>
    <w:p>
      <w:pPr>
        <w:spacing w:line="480" w:lineRule="exact"/>
        <w:ind w:firstLine="324" w:firstLineChars="135"/>
        <w:rPr>
          <w:rFonts w:ascii="宋体" w:hAnsi="宋体"/>
          <w:sz w:val="24"/>
          <w:szCs w:val="24"/>
        </w:rPr>
        <w:sectPr>
          <w:pgSz w:w="11906" w:h="16838"/>
          <w:pgMar w:top="1361" w:right="1361" w:bottom="1361" w:left="1361" w:header="851" w:footer="992" w:gutter="0"/>
          <w:cols w:space="720" w:num="1"/>
          <w:docGrid w:type="lines" w:linePitch="312" w:charSpace="0"/>
        </w:sectPr>
      </w:pPr>
      <w:r>
        <w:rPr>
          <w:rFonts w:hint="eastAsia" w:ascii="宋体" w:hAnsi="宋体"/>
          <w:sz w:val="24"/>
          <w:szCs w:val="24"/>
        </w:rPr>
        <w:t xml:space="preserve">  2) 投标人满足招标文件中列出的资格标准及业绩要求</w:t>
      </w:r>
    </w:p>
    <w:p>
      <w:pPr>
        <w:pStyle w:val="2"/>
        <w:jc w:val="center"/>
      </w:pPr>
      <w:bookmarkStart w:id="63" w:name="_Toc457481153"/>
      <w:r>
        <w:rPr>
          <w:rFonts w:hint="eastAsia"/>
        </w:rPr>
        <w:t>第二章  评标方法</w:t>
      </w:r>
      <w:bookmarkEnd w:id="63"/>
    </w:p>
    <w:p>
      <w:pPr>
        <w:spacing w:line="480" w:lineRule="exact"/>
        <w:rPr>
          <w:rFonts w:ascii="宋体" w:hAnsi="宋体" w:cs="宋体"/>
          <w:sz w:val="24"/>
          <w:szCs w:val="24"/>
        </w:rPr>
      </w:pPr>
      <w:r>
        <w:rPr>
          <w:rFonts w:hint="eastAsia" w:ascii="宋体" w:hAnsi="宋体" w:cs="宋体"/>
          <w:sz w:val="24"/>
          <w:szCs w:val="24"/>
        </w:rPr>
        <w:t>评标是招标工作的重要环节，评标工作在评委会内独立进行。在开标、评标期间，投标人不得向评委询问情况，不得进行旨在影响评标结果的活动。</w:t>
      </w:r>
    </w:p>
    <w:p>
      <w:pPr>
        <w:pStyle w:val="3"/>
        <w:rPr>
          <w:rFonts w:ascii="宋体" w:hAnsi="宋体" w:eastAsia="宋体" w:cs="宋体"/>
        </w:rPr>
      </w:pPr>
      <w:bookmarkStart w:id="64" w:name="_Toc457481154"/>
      <w:r>
        <w:rPr>
          <w:rFonts w:hint="eastAsia" w:ascii="宋体" w:hAnsi="宋体" w:eastAsia="宋体" w:cs="宋体"/>
        </w:rPr>
        <w:t>1评标委员会</w:t>
      </w:r>
      <w:bookmarkEnd w:id="64"/>
    </w:p>
    <w:p>
      <w:pPr>
        <w:spacing w:line="480" w:lineRule="exact"/>
        <w:rPr>
          <w:rFonts w:ascii="宋体" w:hAnsi="宋体" w:cs="宋体"/>
          <w:sz w:val="24"/>
          <w:szCs w:val="24"/>
        </w:rPr>
      </w:pPr>
      <w:r>
        <w:rPr>
          <w:rFonts w:hint="eastAsia" w:ascii="宋体" w:hAnsi="宋体" w:cs="宋体"/>
          <w:sz w:val="24"/>
          <w:szCs w:val="24"/>
        </w:rPr>
        <w:t>1.1  招标人依法组建评标委员会，成员人数为不少于5人以上单数。</w:t>
      </w:r>
    </w:p>
    <w:p>
      <w:pPr>
        <w:spacing w:line="480" w:lineRule="exact"/>
        <w:rPr>
          <w:rFonts w:ascii="宋体" w:hAnsi="宋体" w:cs="宋体"/>
          <w:sz w:val="24"/>
          <w:szCs w:val="24"/>
        </w:rPr>
      </w:pPr>
      <w:r>
        <w:rPr>
          <w:rFonts w:hint="eastAsia" w:ascii="宋体" w:hAnsi="宋体" w:cs="宋体"/>
          <w:sz w:val="24"/>
          <w:szCs w:val="24"/>
        </w:rPr>
        <w:t>1.2  评标委员会在评标过程中发现的问题，应当及时做出处理，并做书面记录。评标报告须由全体评标委员会成员签字。对评标结论持有异议的评标委员可以书面方式阐述其不同意见和理由。评标委员会成员拒绝在评标报告上签字且不陈述其不同意见和理由的，视为同意评标结论。评标委员会须对此做出书面说明并记录在案。</w:t>
      </w:r>
    </w:p>
    <w:p>
      <w:pPr>
        <w:pStyle w:val="3"/>
        <w:rPr>
          <w:rFonts w:ascii="宋体" w:hAnsi="宋体" w:eastAsia="宋体" w:cs="宋体"/>
        </w:rPr>
      </w:pPr>
      <w:bookmarkStart w:id="65" w:name="_Toc457481155"/>
      <w:r>
        <w:rPr>
          <w:rFonts w:hint="eastAsia" w:ascii="宋体" w:hAnsi="宋体" w:eastAsia="宋体" w:cs="宋体"/>
        </w:rPr>
        <w:t>2投标文件的初审</w:t>
      </w:r>
      <w:bookmarkEnd w:id="65"/>
    </w:p>
    <w:p>
      <w:pPr>
        <w:spacing w:line="480" w:lineRule="exact"/>
        <w:rPr>
          <w:rFonts w:ascii="宋体" w:hAnsi="宋体" w:cs="宋体"/>
          <w:b/>
          <w:sz w:val="24"/>
          <w:szCs w:val="24"/>
        </w:rPr>
      </w:pPr>
      <w:r>
        <w:rPr>
          <w:rFonts w:hint="eastAsia" w:ascii="宋体" w:hAnsi="宋体" w:cs="宋体"/>
          <w:sz w:val="24"/>
          <w:szCs w:val="24"/>
        </w:rPr>
        <w:t>2.1  招标部门将根据招标文件中的资格证明对投标人的资格证明文件进行审查， 审查不合格的投标文件将被认定为投标无效。审查合格的投标文件进入评审委员会评审程序。</w:t>
      </w:r>
    </w:p>
    <w:p>
      <w:pPr>
        <w:spacing w:line="480" w:lineRule="exact"/>
        <w:rPr>
          <w:rFonts w:ascii="宋体" w:hAnsi="宋体" w:cs="宋体"/>
          <w:sz w:val="24"/>
          <w:szCs w:val="24"/>
        </w:rPr>
      </w:pPr>
      <w:r>
        <w:rPr>
          <w:rFonts w:hint="eastAsia" w:ascii="宋体" w:hAnsi="宋体" w:cs="宋体"/>
          <w:sz w:val="24"/>
          <w:szCs w:val="24"/>
        </w:rPr>
        <w:t>2.2  评标委员会将审查投标文件是否完整、总体编排是否有序、文件签署是否合格、投标人是否提交了投标保证金（如需要）、有无计算、书写等方面的错误等。</w:t>
      </w:r>
    </w:p>
    <w:p>
      <w:pPr>
        <w:spacing w:line="480" w:lineRule="exact"/>
        <w:rPr>
          <w:rFonts w:ascii="宋体" w:hAnsi="宋体" w:cs="宋体"/>
          <w:sz w:val="24"/>
          <w:szCs w:val="24"/>
        </w:rPr>
      </w:pPr>
      <w:r>
        <w:rPr>
          <w:rFonts w:hint="eastAsia" w:ascii="宋体" w:hAnsi="宋体" w:cs="宋体"/>
          <w:sz w:val="24"/>
          <w:szCs w:val="24"/>
        </w:rPr>
        <w:t>2.3  相关错误将按以下方法更正：</w:t>
      </w:r>
    </w:p>
    <w:p>
      <w:pPr>
        <w:spacing w:line="480" w:lineRule="exact"/>
        <w:rPr>
          <w:rFonts w:ascii="宋体" w:hAnsi="宋体" w:cs="宋体"/>
          <w:sz w:val="24"/>
          <w:szCs w:val="24"/>
        </w:rPr>
      </w:pPr>
      <w:r>
        <w:rPr>
          <w:rFonts w:hint="eastAsia" w:ascii="宋体" w:hAnsi="宋体" w:cs="宋体"/>
          <w:sz w:val="24"/>
          <w:szCs w:val="24"/>
        </w:rPr>
        <w:t>2.3.1  若投标一览表内容与投标价格表内容不一致，以投标一览表为准；</w:t>
      </w:r>
    </w:p>
    <w:p>
      <w:pPr>
        <w:spacing w:line="480" w:lineRule="exact"/>
        <w:rPr>
          <w:rFonts w:ascii="宋体" w:hAnsi="宋体" w:cs="宋体"/>
          <w:sz w:val="24"/>
          <w:szCs w:val="24"/>
        </w:rPr>
      </w:pPr>
      <w:r>
        <w:rPr>
          <w:rFonts w:hint="eastAsia" w:ascii="宋体" w:hAnsi="宋体" w:cs="宋体"/>
          <w:sz w:val="24"/>
          <w:szCs w:val="24"/>
        </w:rPr>
        <w:t>2.3.2  投标文件的大写金额和小写金额不一致的，以大写金额为准；</w:t>
      </w:r>
    </w:p>
    <w:p>
      <w:pPr>
        <w:spacing w:line="480" w:lineRule="exact"/>
        <w:rPr>
          <w:rFonts w:ascii="宋体" w:hAnsi="宋体" w:cs="宋体"/>
          <w:sz w:val="24"/>
          <w:szCs w:val="24"/>
        </w:rPr>
      </w:pPr>
      <w:r>
        <w:rPr>
          <w:rFonts w:hint="eastAsia" w:ascii="宋体" w:hAnsi="宋体" w:cs="宋体"/>
          <w:sz w:val="24"/>
          <w:szCs w:val="24"/>
        </w:rPr>
        <w:t>2.3.3  当单价与数量的乘积与合价不一致时，以单价为准，除非评标委员会认为单价有明显的小数点错误，此时应以标出的合价为准，并修改单价；</w:t>
      </w:r>
    </w:p>
    <w:p>
      <w:pPr>
        <w:spacing w:line="480" w:lineRule="exact"/>
        <w:rPr>
          <w:rFonts w:ascii="宋体" w:hAnsi="宋体" w:cs="宋体"/>
          <w:sz w:val="24"/>
          <w:szCs w:val="24"/>
        </w:rPr>
      </w:pPr>
      <w:r>
        <w:rPr>
          <w:rFonts w:hint="eastAsia" w:ascii="宋体" w:hAnsi="宋体" w:cs="宋体"/>
          <w:sz w:val="24"/>
          <w:szCs w:val="24"/>
        </w:rPr>
        <w:t>2.3.4  对不同文字文本投标文件的解释发生异议的，以中文文本为准。</w:t>
      </w:r>
    </w:p>
    <w:p>
      <w:pPr>
        <w:spacing w:line="480" w:lineRule="exact"/>
        <w:rPr>
          <w:rFonts w:ascii="宋体" w:hAnsi="宋体" w:cs="宋体"/>
          <w:sz w:val="24"/>
          <w:szCs w:val="24"/>
        </w:rPr>
      </w:pPr>
      <w:r>
        <w:rPr>
          <w:rFonts w:hint="eastAsia" w:ascii="宋体" w:hAnsi="宋体" w:cs="宋体"/>
          <w:sz w:val="24"/>
          <w:szCs w:val="24"/>
        </w:rPr>
        <w:t>按上述修正错误的原则及方法调整或修正投标文件的投标报价，投标人同意后，调整后的投标报价对投标人起约束作用。如果投标人不接受修正后的报价，则其投标将被拒绝，并不影响评标工作。</w:t>
      </w:r>
    </w:p>
    <w:p>
      <w:pPr>
        <w:spacing w:line="480" w:lineRule="exact"/>
        <w:rPr>
          <w:rFonts w:ascii="宋体" w:hAnsi="宋体" w:cs="宋体"/>
          <w:sz w:val="24"/>
          <w:szCs w:val="24"/>
        </w:rPr>
      </w:pPr>
      <w:r>
        <w:rPr>
          <w:rFonts w:hint="eastAsia" w:ascii="宋体" w:hAnsi="宋体" w:cs="宋体"/>
          <w:sz w:val="24"/>
          <w:szCs w:val="24"/>
        </w:rPr>
        <w:t>2.3  投标文件中不构成实质性偏差的不正规、不一致或不规则的内容，评标委员会可以接受，但这种接受不能损害或影响任何投标人的相对排序。</w:t>
      </w:r>
    </w:p>
    <w:p>
      <w:pPr>
        <w:spacing w:line="480" w:lineRule="exact"/>
        <w:rPr>
          <w:rFonts w:ascii="宋体" w:hAnsi="宋体" w:cs="宋体"/>
          <w:sz w:val="24"/>
          <w:szCs w:val="24"/>
        </w:rPr>
      </w:pPr>
      <w:r>
        <w:rPr>
          <w:rFonts w:hint="eastAsia" w:ascii="宋体" w:hAnsi="宋体" w:cs="宋体"/>
          <w:sz w:val="24"/>
          <w:szCs w:val="24"/>
        </w:rPr>
        <w:t>2.4  评标委员会审查每份投标文件是否实质上响应了招标文件的各项要求。实质上响应的投标应该是与招标文件要求的全部条款、条件和规格相符，没有重大偏离的投标。对关键条文的偏离、保留或反对，例如关于投标保证金、适用法律、税及主要技术指标等内容的偏离将被认为是实质上的偏离。评标委员会决定投标的响应性只根据投标本身的内容，而不寻求外部的证据。</w:t>
      </w:r>
    </w:p>
    <w:p>
      <w:pPr>
        <w:spacing w:line="480" w:lineRule="exact"/>
        <w:rPr>
          <w:rFonts w:ascii="宋体" w:hAnsi="宋体" w:cs="宋体"/>
          <w:sz w:val="24"/>
          <w:szCs w:val="24"/>
        </w:rPr>
      </w:pPr>
      <w:r>
        <w:rPr>
          <w:rFonts w:hint="eastAsia" w:ascii="宋体" w:hAnsi="宋体" w:cs="宋体"/>
          <w:sz w:val="24"/>
          <w:szCs w:val="24"/>
        </w:rPr>
        <w:t>2.5  实质上没有响应招标文件要求的投标将被拒绝。投标人不得通过修正或撤消不合要求的偏离或保留从而使其投标成为实质上响应的投标。如发现下列情况之一的，其投标将被拒绝：</w:t>
      </w:r>
    </w:p>
    <w:p>
      <w:pPr>
        <w:spacing w:line="480" w:lineRule="exact"/>
        <w:rPr>
          <w:rFonts w:ascii="宋体" w:hAnsi="宋体" w:cs="宋体"/>
          <w:sz w:val="24"/>
          <w:szCs w:val="24"/>
        </w:rPr>
      </w:pPr>
      <w:r>
        <w:rPr>
          <w:rFonts w:hint="eastAsia" w:ascii="宋体" w:hAnsi="宋体" w:cs="宋体"/>
          <w:sz w:val="24"/>
          <w:szCs w:val="24"/>
        </w:rPr>
        <w:t>1） 投标文件未密封的；</w:t>
      </w:r>
    </w:p>
    <w:p>
      <w:pPr>
        <w:spacing w:line="480" w:lineRule="exact"/>
        <w:rPr>
          <w:rFonts w:ascii="宋体" w:hAnsi="宋体" w:cs="宋体"/>
          <w:sz w:val="24"/>
          <w:szCs w:val="24"/>
        </w:rPr>
      </w:pPr>
      <w:r>
        <w:rPr>
          <w:rFonts w:hint="eastAsia" w:ascii="宋体" w:hAnsi="宋体" w:cs="宋体"/>
          <w:sz w:val="24"/>
          <w:szCs w:val="24"/>
        </w:rPr>
        <w:t>2） 投标人未按规定提交投标保证金或金额不足、投标保证金形式不符合招标文件要求的；（如有）</w:t>
      </w:r>
    </w:p>
    <w:p>
      <w:pPr>
        <w:spacing w:line="480" w:lineRule="exact"/>
        <w:rPr>
          <w:rFonts w:ascii="宋体" w:hAnsi="宋体" w:cs="宋体"/>
          <w:sz w:val="24"/>
          <w:szCs w:val="24"/>
        </w:rPr>
      </w:pPr>
      <w:r>
        <w:rPr>
          <w:rFonts w:hint="eastAsia" w:ascii="宋体" w:hAnsi="宋体" w:cs="宋体"/>
          <w:sz w:val="24"/>
          <w:szCs w:val="24"/>
        </w:rPr>
        <w:t>3） 投标文件须加盖公章处未加盖公章的，或投标文件中要求法人代表签字或加盖个人印鉴，却无法人代表签字或加盖个人印鉴的，或签字人无法人代表有效授权委托书的；</w:t>
      </w:r>
    </w:p>
    <w:p>
      <w:pPr>
        <w:spacing w:line="480" w:lineRule="exact"/>
        <w:rPr>
          <w:rFonts w:ascii="宋体" w:hAnsi="宋体" w:cs="宋体"/>
          <w:sz w:val="24"/>
          <w:szCs w:val="24"/>
        </w:rPr>
      </w:pPr>
      <w:r>
        <w:rPr>
          <w:rFonts w:hint="eastAsia" w:ascii="宋体" w:hAnsi="宋体" w:cs="宋体"/>
          <w:sz w:val="24"/>
          <w:szCs w:val="24"/>
        </w:rPr>
        <w:t>4） 资格证明文件不全的；</w:t>
      </w:r>
    </w:p>
    <w:p>
      <w:pPr>
        <w:spacing w:line="480" w:lineRule="exact"/>
        <w:rPr>
          <w:rFonts w:ascii="宋体" w:hAnsi="宋体" w:cs="宋体"/>
          <w:sz w:val="24"/>
          <w:szCs w:val="24"/>
        </w:rPr>
      </w:pPr>
      <w:r>
        <w:rPr>
          <w:rFonts w:hint="eastAsia" w:ascii="宋体" w:hAnsi="宋体" w:cs="宋体"/>
          <w:sz w:val="24"/>
          <w:szCs w:val="24"/>
        </w:rPr>
        <w:t>5） 超出经营范围投标的；</w:t>
      </w:r>
    </w:p>
    <w:p>
      <w:pPr>
        <w:spacing w:line="480" w:lineRule="exact"/>
        <w:rPr>
          <w:rFonts w:ascii="宋体" w:hAnsi="宋体" w:cs="宋体"/>
          <w:sz w:val="24"/>
          <w:szCs w:val="24"/>
        </w:rPr>
      </w:pPr>
      <w:r>
        <w:rPr>
          <w:rFonts w:hint="eastAsia" w:ascii="宋体" w:hAnsi="宋体" w:cs="宋体"/>
          <w:sz w:val="24"/>
          <w:szCs w:val="24"/>
        </w:rPr>
        <w:t xml:space="preserve">6） 投标报价超出最高限价（或控制金额）的（如适用）； </w:t>
      </w:r>
    </w:p>
    <w:p>
      <w:pPr>
        <w:spacing w:line="480" w:lineRule="exact"/>
        <w:rPr>
          <w:rFonts w:ascii="宋体" w:hAnsi="宋体" w:cs="宋体"/>
          <w:sz w:val="24"/>
          <w:szCs w:val="24"/>
        </w:rPr>
      </w:pPr>
      <w:r>
        <w:rPr>
          <w:rFonts w:hint="eastAsia" w:ascii="宋体" w:hAnsi="宋体" w:cs="宋体"/>
          <w:sz w:val="24"/>
          <w:szCs w:val="24"/>
        </w:rPr>
        <w:t>7） 未按招标文件要求提交投标函，或投标函的内容与招标文件有明显不一致的；</w:t>
      </w:r>
    </w:p>
    <w:p>
      <w:pPr>
        <w:spacing w:line="480" w:lineRule="exact"/>
        <w:rPr>
          <w:rFonts w:ascii="宋体" w:hAnsi="宋体" w:cs="宋体"/>
          <w:sz w:val="24"/>
          <w:szCs w:val="24"/>
        </w:rPr>
      </w:pPr>
      <w:r>
        <w:rPr>
          <w:rFonts w:hint="eastAsia" w:ascii="宋体" w:hAnsi="宋体" w:cs="宋体"/>
          <w:sz w:val="24"/>
          <w:szCs w:val="24"/>
        </w:rPr>
        <w:t>8） 无投标报价表或分项报价表的，投标报价有严重缺漏项目的；</w:t>
      </w:r>
    </w:p>
    <w:p>
      <w:pPr>
        <w:spacing w:line="480" w:lineRule="exact"/>
        <w:rPr>
          <w:rFonts w:ascii="宋体" w:hAnsi="宋体" w:cs="宋体"/>
          <w:sz w:val="24"/>
          <w:szCs w:val="24"/>
        </w:rPr>
      </w:pPr>
      <w:r>
        <w:rPr>
          <w:rFonts w:hint="eastAsia" w:ascii="宋体" w:hAnsi="宋体" w:cs="宋体"/>
          <w:sz w:val="24"/>
          <w:szCs w:val="24"/>
        </w:rPr>
        <w:t>9） 不满足技术要求中主要参数和超出允许的偏差范围的；</w:t>
      </w:r>
    </w:p>
    <w:p>
      <w:pPr>
        <w:spacing w:line="480" w:lineRule="exact"/>
        <w:rPr>
          <w:rFonts w:ascii="宋体" w:hAnsi="宋体" w:cs="宋体"/>
          <w:sz w:val="24"/>
          <w:szCs w:val="24"/>
        </w:rPr>
      </w:pPr>
      <w:r>
        <w:rPr>
          <w:rFonts w:hint="eastAsia" w:ascii="宋体" w:hAnsi="宋体" w:cs="宋体"/>
          <w:sz w:val="24"/>
          <w:szCs w:val="24"/>
        </w:rPr>
        <w:t>10）以联合体形式投标，未提交共同投标协议的（如适用）；</w:t>
      </w:r>
    </w:p>
    <w:p>
      <w:pPr>
        <w:spacing w:line="480" w:lineRule="exact"/>
        <w:rPr>
          <w:rFonts w:ascii="宋体" w:hAnsi="宋体" w:cs="宋体"/>
          <w:sz w:val="24"/>
          <w:szCs w:val="24"/>
        </w:rPr>
      </w:pPr>
      <w:r>
        <w:rPr>
          <w:rFonts w:hint="eastAsia" w:ascii="宋体" w:hAnsi="宋体" w:cs="宋体"/>
          <w:sz w:val="24"/>
          <w:szCs w:val="24"/>
        </w:rPr>
        <w:t>11）招标文件当中已列明的其他导致废标的因素。</w:t>
      </w:r>
    </w:p>
    <w:p>
      <w:pPr>
        <w:pStyle w:val="3"/>
        <w:rPr>
          <w:rFonts w:ascii="宋体" w:hAnsi="宋体" w:eastAsia="宋体" w:cs="宋体"/>
        </w:rPr>
      </w:pPr>
      <w:bookmarkStart w:id="66" w:name="_Toc457481156"/>
      <w:r>
        <w:rPr>
          <w:rFonts w:hint="eastAsia" w:ascii="宋体" w:hAnsi="宋体" w:eastAsia="宋体" w:cs="宋体"/>
        </w:rPr>
        <w:t>3投标文件的澄清</w:t>
      </w:r>
      <w:bookmarkEnd w:id="66"/>
    </w:p>
    <w:p>
      <w:pPr>
        <w:spacing w:line="480" w:lineRule="exact"/>
        <w:rPr>
          <w:rFonts w:ascii="宋体" w:hAnsi="宋体" w:cs="宋体"/>
          <w:sz w:val="24"/>
          <w:szCs w:val="24"/>
        </w:rPr>
      </w:pPr>
      <w:r>
        <w:rPr>
          <w:rFonts w:hint="eastAsia" w:ascii="宋体" w:hAnsi="宋体" w:cs="宋体"/>
          <w:sz w:val="24"/>
          <w:szCs w:val="24"/>
        </w:rPr>
        <w:t>在评标期间，评标委员会可根据对投标文件的评审，要求投标人对其投标文件中含义不明确、对同类问题表述不一致或者有明显文字和计算错误的内容做必要的澄清、说明或者补正，但不得寻求、提供或允许对投标价格等实质性内容做任何更改。有关澄清的要求和答复均以书面形式提交。招标机构做询标记录。评标委员会不接受投标人主动提出的澄清或说明。</w:t>
      </w:r>
    </w:p>
    <w:p>
      <w:pPr>
        <w:pStyle w:val="3"/>
        <w:rPr>
          <w:rFonts w:ascii="宋体" w:hAnsi="宋体" w:eastAsia="宋体" w:cs="宋体"/>
        </w:rPr>
      </w:pPr>
      <w:bookmarkStart w:id="67" w:name="_Toc457481157"/>
      <w:r>
        <w:rPr>
          <w:rFonts w:hint="eastAsia" w:ascii="宋体" w:hAnsi="宋体" w:eastAsia="宋体" w:cs="宋体"/>
        </w:rPr>
        <w:t>4定标原则</w:t>
      </w:r>
      <w:bookmarkEnd w:id="67"/>
    </w:p>
    <w:p>
      <w:pPr>
        <w:spacing w:line="480" w:lineRule="exact"/>
        <w:rPr>
          <w:rFonts w:ascii="宋体" w:hAnsi="宋体" w:cs="宋体"/>
          <w:b/>
          <w:sz w:val="24"/>
          <w:szCs w:val="24"/>
        </w:rPr>
      </w:pPr>
      <w:r>
        <w:rPr>
          <w:rFonts w:hint="eastAsia" w:ascii="宋体" w:hAnsi="宋体" w:cs="宋体"/>
          <w:bCs/>
          <w:sz w:val="24"/>
          <w:szCs w:val="24"/>
        </w:rPr>
        <w:t>评标委员会须严格按照招标文件的要求和条件及评标方法的规定，比照投标文件进行评审，推荐预中标候选人或中标候选人。</w:t>
      </w:r>
    </w:p>
    <w:p>
      <w:pPr>
        <w:pStyle w:val="3"/>
      </w:pPr>
      <w:bookmarkStart w:id="68" w:name="_Toc457481158"/>
      <w:r>
        <w:rPr>
          <w:rFonts w:hint="eastAsia" w:ascii="宋体" w:hAnsi="宋体" w:eastAsia="宋体" w:cs="宋体"/>
        </w:rPr>
        <w:t>5评标方法</w:t>
      </w:r>
      <w:bookmarkEnd w:id="68"/>
    </w:p>
    <w:p>
      <w:pPr>
        <w:spacing w:line="480" w:lineRule="exact"/>
        <w:rPr>
          <w:rFonts w:ascii="宋体" w:hAnsi="宋体" w:cs="宋体"/>
          <w:bCs/>
          <w:sz w:val="24"/>
          <w:szCs w:val="24"/>
        </w:rPr>
      </w:pPr>
      <w:r>
        <w:rPr>
          <w:rFonts w:hint="eastAsia" w:ascii="宋体" w:hAnsi="宋体" w:cs="宋体"/>
          <w:bCs/>
          <w:sz w:val="24"/>
          <w:szCs w:val="24"/>
        </w:rPr>
        <w:t>评标方法分为最低评标价法、综合评标法等。本次招标项目的评标方法为综合评分方法。见下表：</w:t>
      </w:r>
    </w:p>
    <w:p>
      <w:pPr>
        <w:jc w:val="center"/>
        <w:rPr>
          <w:b/>
          <w:bCs/>
          <w:sz w:val="24"/>
          <w:szCs w:val="24"/>
        </w:rPr>
      </w:pPr>
      <w:r>
        <w:rPr>
          <w:rFonts w:hint="eastAsia"/>
          <w:b/>
          <w:bCs/>
          <w:sz w:val="24"/>
          <w:szCs w:val="24"/>
        </w:rPr>
        <w:t>初步评审表</w:t>
      </w:r>
    </w:p>
    <w:tbl>
      <w:tblPr>
        <w:tblStyle w:val="25"/>
        <w:tblW w:w="964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81"/>
        <w:gridCol w:w="3002"/>
        <w:gridCol w:w="4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tcBorders>
              <w:right w:val="single" w:color="auto" w:sz="4" w:space="0"/>
            </w:tcBorders>
            <w:vAlign w:val="center"/>
          </w:tcPr>
          <w:p>
            <w:pPr>
              <w:spacing w:line="360" w:lineRule="auto"/>
              <w:jc w:val="center"/>
              <w:rPr>
                <w:rFonts w:ascii="Arial" w:hAnsi="Arial" w:cs="Arial"/>
                <w:snapToGrid w:val="0"/>
                <w:kern w:val="0"/>
                <w:sz w:val="24"/>
                <w:szCs w:val="21"/>
              </w:rPr>
            </w:pPr>
            <w:r>
              <w:rPr>
                <w:rFonts w:ascii="Arial" w:hAnsi="Arial" w:cs="Arial"/>
                <w:snapToGrid w:val="0"/>
                <w:kern w:val="0"/>
                <w:sz w:val="24"/>
                <w:szCs w:val="21"/>
              </w:rPr>
              <w:t>名称</w:t>
            </w:r>
          </w:p>
        </w:tc>
        <w:tc>
          <w:tcPr>
            <w:tcW w:w="3002" w:type="dxa"/>
            <w:tcBorders>
              <w:left w:val="single" w:color="auto" w:sz="4" w:space="0"/>
              <w:right w:val="single" w:color="auto" w:sz="4" w:space="0"/>
            </w:tcBorders>
            <w:vAlign w:val="center"/>
          </w:tcPr>
          <w:p>
            <w:pPr>
              <w:spacing w:line="360" w:lineRule="auto"/>
              <w:jc w:val="center"/>
              <w:rPr>
                <w:rFonts w:ascii="Arial" w:hAnsi="Arial" w:cs="Arial"/>
                <w:snapToGrid w:val="0"/>
                <w:kern w:val="0"/>
                <w:sz w:val="24"/>
                <w:szCs w:val="21"/>
              </w:rPr>
            </w:pPr>
            <w:r>
              <w:rPr>
                <w:rFonts w:ascii="Arial" w:hAnsi="Arial" w:cs="Arial"/>
                <w:snapToGrid w:val="0"/>
                <w:kern w:val="0"/>
                <w:sz w:val="24"/>
                <w:szCs w:val="21"/>
              </w:rPr>
              <w:t>评审因素</w:t>
            </w:r>
          </w:p>
        </w:tc>
        <w:tc>
          <w:tcPr>
            <w:tcW w:w="4857" w:type="dxa"/>
            <w:tcBorders>
              <w:left w:val="single" w:color="auto" w:sz="4" w:space="0"/>
            </w:tcBorders>
            <w:vAlign w:val="center"/>
          </w:tcPr>
          <w:p>
            <w:pPr>
              <w:spacing w:line="360" w:lineRule="auto"/>
              <w:jc w:val="center"/>
              <w:rPr>
                <w:rFonts w:ascii="Arial" w:hAnsi="Arial" w:cs="Arial"/>
                <w:snapToGrid w:val="0"/>
                <w:kern w:val="0"/>
                <w:szCs w:val="21"/>
              </w:rPr>
            </w:pPr>
            <w:r>
              <w:rPr>
                <w:rFonts w:ascii="Arial" w:hAnsi="Arial" w:cs="Arial"/>
                <w:snapToGrid w:val="0"/>
                <w:kern w:val="0"/>
                <w:sz w:val="24"/>
                <w:szCs w:val="21"/>
              </w:rPr>
              <w:t>评审标准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restart"/>
            <w:vAlign w:val="center"/>
          </w:tcPr>
          <w:p>
            <w:pPr>
              <w:spacing w:line="360" w:lineRule="auto"/>
              <w:jc w:val="left"/>
              <w:rPr>
                <w:rFonts w:ascii="Arial" w:hAnsi="Arial" w:cs="Arial"/>
                <w:snapToGrid w:val="0"/>
                <w:kern w:val="0"/>
                <w:sz w:val="24"/>
                <w:szCs w:val="24"/>
              </w:rPr>
            </w:pPr>
            <w:r>
              <w:rPr>
                <w:rFonts w:hint="eastAsia" w:ascii="Arial" w:hAnsi="Arial" w:cs="Arial"/>
                <w:snapToGrid w:val="0"/>
                <w:kern w:val="0"/>
                <w:sz w:val="24"/>
                <w:szCs w:val="24"/>
              </w:rPr>
              <w:t>初步评审标准</w:t>
            </w: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投标人名称</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与营业执照（或经营许可证等）一致、资质证书一致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w:t>
            </w:r>
            <w:r>
              <w:rPr>
                <w:rFonts w:hint="eastAsia" w:ascii="Arial" w:hAnsi="Arial" w:cs="Arial"/>
                <w:snapToGrid w:val="0"/>
                <w:kern w:val="0"/>
                <w:sz w:val="24"/>
                <w:szCs w:val="24"/>
              </w:rPr>
              <w:t>书</w:t>
            </w:r>
            <w:r>
              <w:rPr>
                <w:rFonts w:ascii="Arial" w:hAnsi="Arial" w:cs="Arial"/>
                <w:snapToGrid w:val="0"/>
                <w:kern w:val="0"/>
                <w:sz w:val="24"/>
                <w:szCs w:val="24"/>
              </w:rPr>
              <w:t>签字</w:t>
            </w:r>
            <w:r>
              <w:rPr>
                <w:rFonts w:hint="eastAsia" w:ascii="Arial" w:hAnsi="Arial" w:cs="Arial"/>
                <w:snapToGrid w:val="0"/>
                <w:kern w:val="0"/>
                <w:sz w:val="24"/>
                <w:szCs w:val="24"/>
              </w:rPr>
              <w:t>或盖章</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有法定代表人或其委托代理人签字</w:t>
            </w:r>
            <w:r>
              <w:rPr>
                <w:rFonts w:hint="eastAsia" w:ascii="Arial" w:hAnsi="Arial" w:cs="Arial"/>
                <w:snapToGrid w:val="0"/>
                <w:kern w:val="0"/>
                <w:sz w:val="24"/>
                <w:szCs w:val="24"/>
              </w:rPr>
              <w:t>或盖章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投标文件格式</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四</w:t>
            </w:r>
            <w:r>
              <w:rPr>
                <w:rFonts w:ascii="Arial" w:hAnsi="Arial" w:cs="Arial"/>
                <w:snapToGrid w:val="0"/>
                <w:kern w:val="0"/>
                <w:sz w:val="24"/>
                <w:szCs w:val="24"/>
              </w:rPr>
              <w:t>部分投标文件格式”的要求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7"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投标文件密封</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二</w:t>
            </w:r>
            <w:r>
              <w:rPr>
                <w:rFonts w:ascii="Arial" w:hAnsi="Arial" w:cs="Arial"/>
                <w:snapToGrid w:val="0"/>
                <w:kern w:val="0"/>
                <w:sz w:val="24"/>
                <w:szCs w:val="24"/>
              </w:rPr>
              <w:t>部分</w:t>
            </w:r>
            <w:r>
              <w:rPr>
                <w:rFonts w:hint="eastAsia" w:ascii="Arial" w:hAnsi="Arial" w:cs="Arial"/>
                <w:snapToGrid w:val="0"/>
                <w:kern w:val="0"/>
                <w:sz w:val="24"/>
                <w:szCs w:val="24"/>
              </w:rPr>
              <w:t>第一章第六条6.1</w:t>
            </w:r>
            <w:r>
              <w:rPr>
                <w:rFonts w:ascii="Arial" w:hAnsi="Arial" w:cs="Arial"/>
                <w:snapToGrid w:val="0"/>
                <w:kern w:val="0"/>
                <w:sz w:val="24"/>
                <w:szCs w:val="24"/>
              </w:rPr>
              <w:t xml:space="preserve"> 密封和标记”要求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57"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Cs w:val="21"/>
              </w:rPr>
            </w:pPr>
            <w:r>
              <w:rPr>
                <w:rFonts w:hint="eastAsia" w:ascii="Arial" w:hAnsi="Arial" w:cs="Arial"/>
                <w:snapToGrid w:val="0"/>
                <w:kern w:val="0"/>
                <w:sz w:val="24"/>
                <w:szCs w:val="24"/>
              </w:rPr>
              <w:t>投标报价</w:t>
            </w:r>
          </w:p>
        </w:tc>
        <w:tc>
          <w:tcPr>
            <w:tcW w:w="4857" w:type="dxa"/>
            <w:vAlign w:val="center"/>
          </w:tcPr>
          <w:p>
            <w:pPr>
              <w:spacing w:line="360" w:lineRule="auto"/>
              <w:jc w:val="left"/>
              <w:rPr>
                <w:rFonts w:ascii="Arial" w:hAnsi="Arial" w:cs="Arial"/>
                <w:snapToGrid w:val="0"/>
                <w:kern w:val="0"/>
                <w:szCs w:val="21"/>
              </w:rPr>
            </w:pPr>
            <w:r>
              <w:rPr>
                <w:rFonts w:ascii="Arial" w:hAnsi="Arial" w:cs="Arial"/>
                <w:snapToGrid w:val="0"/>
                <w:kern w:val="0"/>
                <w:sz w:val="24"/>
                <w:szCs w:val="24"/>
              </w:rPr>
              <w:t>只能有一个有效报价</w:t>
            </w:r>
            <w:r>
              <w:rPr>
                <w:rFonts w:hint="eastAsia" w:ascii="Arial" w:hAnsi="Arial" w:cs="Arial"/>
                <w:snapToGrid w:val="0"/>
                <w:kern w:val="0"/>
                <w:sz w:val="24"/>
                <w:szCs w:val="24"/>
              </w:rPr>
              <w:t>且投标报价不得高于招标控制价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left"/>
              <w:rPr>
                <w:rFonts w:ascii="Arial" w:hAnsi="Arial" w:cs="Arial"/>
                <w:snapToGrid w:val="0"/>
                <w:kern w:val="0"/>
                <w:sz w:val="24"/>
                <w:szCs w:val="24"/>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营业执照（或其他有效经营许可）</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具备有效的营业执照（或其他有效经营许可）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center"/>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投标人资质条件</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一部分招标公告</w:t>
            </w:r>
            <w:r>
              <w:rPr>
                <w:rFonts w:ascii="Arial" w:hAnsi="Arial" w:cs="Arial"/>
                <w:snapToGrid w:val="0"/>
                <w:kern w:val="0"/>
                <w:sz w:val="24"/>
                <w:szCs w:val="24"/>
              </w:rPr>
              <w:t>”中的规定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center"/>
              <w:rPr>
                <w:rFonts w:ascii="Arial" w:hAnsi="Arial" w:cs="Arial"/>
                <w:snapToGrid w:val="0"/>
                <w:kern w:val="0"/>
                <w:szCs w:val="21"/>
              </w:rPr>
            </w:pPr>
          </w:p>
        </w:tc>
        <w:tc>
          <w:tcPr>
            <w:tcW w:w="3002" w:type="dxa"/>
            <w:vAlign w:val="center"/>
          </w:tcPr>
          <w:p>
            <w:pPr>
              <w:spacing w:line="360" w:lineRule="auto"/>
              <w:jc w:val="left"/>
              <w:rPr>
                <w:rFonts w:ascii="Arial" w:hAnsi="Arial" w:cs="Arial"/>
                <w:snapToGrid w:val="0"/>
                <w:kern w:val="0"/>
                <w:sz w:val="24"/>
                <w:szCs w:val="24"/>
              </w:rPr>
            </w:pPr>
            <w:r>
              <w:rPr>
                <w:rFonts w:hint="eastAsia" w:ascii="Arial" w:hAnsi="Arial" w:cs="Arial"/>
                <w:snapToGrid w:val="0"/>
                <w:kern w:val="0"/>
                <w:sz w:val="24"/>
                <w:szCs w:val="24"/>
              </w:rPr>
              <w:t>项目负责人要求</w:t>
            </w:r>
          </w:p>
        </w:tc>
        <w:tc>
          <w:tcPr>
            <w:tcW w:w="4857" w:type="dxa"/>
            <w:vAlign w:val="center"/>
          </w:tcPr>
          <w:p>
            <w:pPr>
              <w:spacing w:line="360" w:lineRule="auto"/>
              <w:jc w:val="left"/>
              <w:rPr>
                <w:rFonts w:ascii="Arial" w:hAnsi="Arial" w:cs="Arial"/>
                <w:snapToGrid w:val="0"/>
                <w:kern w:val="0"/>
                <w:sz w:val="24"/>
                <w:szCs w:val="24"/>
              </w:rPr>
            </w:pPr>
            <w:r>
              <w:rPr>
                <w:rFonts w:ascii="Arial" w:hAnsi="Arial" w:cs="Arial"/>
                <w:snapToGrid w:val="0"/>
                <w:kern w:val="0"/>
                <w:sz w:val="24"/>
                <w:szCs w:val="24"/>
              </w:rPr>
              <w:t>符合本招标文件“第</w:t>
            </w:r>
            <w:r>
              <w:rPr>
                <w:rFonts w:hint="eastAsia" w:ascii="Arial" w:hAnsi="Arial" w:cs="Arial"/>
                <w:snapToGrid w:val="0"/>
                <w:kern w:val="0"/>
                <w:sz w:val="24"/>
                <w:szCs w:val="24"/>
              </w:rPr>
              <w:t>一部分招标公告</w:t>
            </w:r>
            <w:r>
              <w:rPr>
                <w:rFonts w:ascii="Arial" w:hAnsi="Arial" w:cs="Arial"/>
                <w:snapToGrid w:val="0"/>
                <w:kern w:val="0"/>
                <w:sz w:val="24"/>
                <w:szCs w:val="24"/>
              </w:rPr>
              <w:t>”中的规定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center"/>
              <w:rPr>
                <w:rFonts w:ascii="Arial" w:hAnsi="Arial" w:cs="Arial"/>
                <w:snapToGrid w:val="0"/>
                <w:kern w:val="0"/>
                <w:szCs w:val="21"/>
              </w:rPr>
            </w:pPr>
          </w:p>
        </w:tc>
        <w:tc>
          <w:tcPr>
            <w:tcW w:w="3002" w:type="dxa"/>
            <w:vAlign w:val="center"/>
          </w:tcPr>
          <w:p>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工期</w:t>
            </w:r>
          </w:p>
        </w:tc>
        <w:tc>
          <w:tcPr>
            <w:tcW w:w="4857" w:type="dxa"/>
            <w:vAlign w:val="center"/>
          </w:tcPr>
          <w:p>
            <w:pPr>
              <w:spacing w:line="360" w:lineRule="auto"/>
              <w:textAlignment w:val="center"/>
              <w:rPr>
                <w:rFonts w:ascii="Arial" w:hAnsi="Arial" w:cs="Arial"/>
                <w:snapToGrid w:val="0"/>
                <w:kern w:val="0"/>
                <w:szCs w:val="21"/>
              </w:rPr>
            </w:pPr>
            <w:r>
              <w:rPr>
                <w:rFonts w:ascii="Arial" w:hAnsi="Arial" w:cs="Arial"/>
                <w:snapToGrid w:val="0"/>
                <w:kern w:val="0"/>
                <w:sz w:val="24"/>
                <w:szCs w:val="24"/>
              </w:rPr>
              <w:t>符合本招标文件“第</w:t>
            </w:r>
            <w:r>
              <w:rPr>
                <w:rFonts w:hint="eastAsia" w:ascii="Arial" w:hAnsi="Arial" w:cs="Arial"/>
                <w:snapToGrid w:val="0"/>
                <w:kern w:val="0"/>
                <w:sz w:val="24"/>
                <w:szCs w:val="24"/>
              </w:rPr>
              <w:t>一部分招标公告</w:t>
            </w:r>
            <w:r>
              <w:rPr>
                <w:rFonts w:ascii="Arial" w:hAnsi="Arial" w:cs="Arial"/>
                <w:snapToGrid w:val="0"/>
                <w:kern w:val="0"/>
                <w:sz w:val="24"/>
                <w:szCs w:val="24"/>
              </w:rPr>
              <w:t>”中的规定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vAlign w:val="center"/>
          </w:tcPr>
          <w:p>
            <w:pPr>
              <w:spacing w:line="360" w:lineRule="auto"/>
              <w:jc w:val="center"/>
              <w:rPr>
                <w:rFonts w:ascii="Arial" w:hAnsi="Arial" w:cs="Arial"/>
                <w:snapToGrid w:val="0"/>
                <w:kern w:val="0"/>
                <w:szCs w:val="21"/>
              </w:rPr>
            </w:pPr>
          </w:p>
        </w:tc>
        <w:tc>
          <w:tcPr>
            <w:tcW w:w="3002" w:type="dxa"/>
            <w:vAlign w:val="center"/>
          </w:tcPr>
          <w:p>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投标有效期</w:t>
            </w:r>
          </w:p>
        </w:tc>
        <w:tc>
          <w:tcPr>
            <w:tcW w:w="4857" w:type="dxa"/>
            <w:vAlign w:val="center"/>
          </w:tcPr>
          <w:p>
            <w:pPr>
              <w:spacing w:line="360" w:lineRule="auto"/>
              <w:textAlignment w:val="center"/>
              <w:rPr>
                <w:rFonts w:ascii="Arial" w:hAnsi="Arial" w:cs="Arial"/>
                <w:snapToGrid w:val="0"/>
                <w:kern w:val="0"/>
                <w:szCs w:val="21"/>
              </w:rPr>
            </w:pPr>
            <w:r>
              <w:rPr>
                <w:rFonts w:ascii="Arial" w:hAnsi="Arial" w:cs="Arial"/>
                <w:snapToGrid w:val="0"/>
                <w:kern w:val="0"/>
                <w:sz w:val="24"/>
                <w:szCs w:val="24"/>
              </w:rPr>
              <w:t>符合本招标文件“第</w:t>
            </w:r>
            <w:r>
              <w:rPr>
                <w:rFonts w:hint="eastAsia" w:ascii="Arial" w:hAnsi="Arial" w:cs="Arial"/>
                <w:snapToGrid w:val="0"/>
                <w:kern w:val="0"/>
                <w:sz w:val="24"/>
                <w:szCs w:val="24"/>
              </w:rPr>
              <w:t>二</w:t>
            </w:r>
            <w:r>
              <w:rPr>
                <w:rFonts w:ascii="Arial" w:hAnsi="Arial" w:cs="Arial"/>
                <w:snapToGrid w:val="0"/>
                <w:kern w:val="0"/>
                <w:sz w:val="24"/>
                <w:szCs w:val="24"/>
              </w:rPr>
              <w:t>部分投标须知”规定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781" w:type="dxa"/>
            <w:vMerge w:val="continue"/>
          </w:tcPr>
          <w:p>
            <w:pPr>
              <w:spacing w:line="360" w:lineRule="auto"/>
              <w:rPr>
                <w:rFonts w:ascii="Arial" w:hAnsi="Arial" w:cs="Arial"/>
                <w:snapToGrid w:val="0"/>
                <w:kern w:val="0"/>
                <w:szCs w:val="21"/>
              </w:rPr>
            </w:pPr>
          </w:p>
        </w:tc>
        <w:tc>
          <w:tcPr>
            <w:tcW w:w="3002" w:type="dxa"/>
            <w:vAlign w:val="center"/>
          </w:tcPr>
          <w:p>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技术标准和要求</w:t>
            </w:r>
          </w:p>
        </w:tc>
        <w:tc>
          <w:tcPr>
            <w:tcW w:w="4857" w:type="dxa"/>
            <w:vAlign w:val="center"/>
          </w:tcPr>
          <w:p>
            <w:pPr>
              <w:spacing w:line="360" w:lineRule="auto"/>
              <w:textAlignment w:val="center"/>
              <w:rPr>
                <w:rFonts w:ascii="Arial" w:hAnsi="Arial" w:cs="Arial"/>
                <w:snapToGrid w:val="0"/>
                <w:kern w:val="0"/>
                <w:sz w:val="24"/>
                <w:szCs w:val="24"/>
              </w:rPr>
            </w:pPr>
            <w:r>
              <w:rPr>
                <w:rFonts w:ascii="Arial" w:hAnsi="Arial" w:cs="Arial"/>
                <w:snapToGrid w:val="0"/>
                <w:kern w:val="0"/>
                <w:sz w:val="24"/>
                <w:szCs w:val="24"/>
              </w:rPr>
              <w:t>符合本招标文件技术部分的规定</w:t>
            </w:r>
          </w:p>
        </w:tc>
      </w:tr>
    </w:tbl>
    <w:p>
      <w:pPr>
        <w:pStyle w:val="29"/>
        <w:spacing w:beforeLines="50" w:line="360" w:lineRule="auto"/>
        <w:ind w:firstLine="0" w:firstLineChars="0"/>
        <w:rPr>
          <w:rFonts w:ascii="Arial" w:hAnsi="Arial" w:cs="Arial"/>
          <w:snapToGrid w:val="0"/>
          <w:kern w:val="0"/>
          <w:sz w:val="24"/>
          <w:szCs w:val="24"/>
        </w:rPr>
      </w:pPr>
      <w:r>
        <w:rPr>
          <w:rFonts w:hint="eastAsia" w:ascii="Arial" w:hAnsi="Arial" w:cs="Arial"/>
          <w:snapToGrid w:val="0"/>
          <w:kern w:val="0"/>
          <w:sz w:val="24"/>
          <w:szCs w:val="24"/>
        </w:rPr>
        <w:t>注：投标单位投标文件须满足上述初步评审标准，有一项或多项不符合的则按无效标处理，不得进入后续评标。</w:t>
      </w:r>
    </w:p>
    <w:p>
      <w:pPr>
        <w:pStyle w:val="29"/>
        <w:spacing w:beforeLines="50" w:line="360" w:lineRule="auto"/>
        <w:ind w:firstLine="0" w:firstLineChars="0"/>
        <w:rPr>
          <w:rFonts w:ascii="Arial" w:hAnsi="Arial" w:cs="Arial"/>
          <w:snapToGrid w:val="0"/>
          <w:kern w:val="0"/>
          <w:sz w:val="24"/>
          <w:szCs w:val="24"/>
        </w:rPr>
      </w:pPr>
    </w:p>
    <w:p>
      <w:pPr>
        <w:pStyle w:val="29"/>
        <w:spacing w:beforeLines="50" w:line="360" w:lineRule="auto"/>
        <w:ind w:firstLine="0" w:firstLineChars="0"/>
        <w:rPr>
          <w:rFonts w:ascii="Arial" w:hAnsi="Arial" w:cs="Arial"/>
          <w:snapToGrid w:val="0"/>
          <w:kern w:val="0"/>
          <w:sz w:val="24"/>
          <w:szCs w:val="24"/>
        </w:rPr>
        <w:sectPr>
          <w:pgSz w:w="11906" w:h="16838"/>
          <w:pgMar w:top="1361" w:right="1361" w:bottom="1361" w:left="1361" w:header="851" w:footer="992" w:gutter="0"/>
          <w:cols w:space="720" w:num="1"/>
          <w:docGrid w:type="lines" w:linePitch="312" w:charSpace="0"/>
        </w:sectPr>
      </w:pPr>
    </w:p>
    <w:p>
      <w:pPr>
        <w:jc w:val="center"/>
        <w:rPr>
          <w:b/>
          <w:bCs/>
          <w:sz w:val="24"/>
          <w:szCs w:val="24"/>
        </w:rPr>
      </w:pPr>
      <w:r>
        <w:rPr>
          <w:rFonts w:hint="eastAsia"/>
          <w:b/>
          <w:bCs/>
          <w:sz w:val="24"/>
          <w:szCs w:val="24"/>
        </w:rPr>
        <w:t>综合评审打分表</w:t>
      </w:r>
    </w:p>
    <w:tbl>
      <w:tblPr>
        <w:tblStyle w:val="25"/>
        <w:tblW w:w="957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30"/>
        <w:gridCol w:w="2389"/>
        <w:gridCol w:w="53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5" w:hRule="atLeast"/>
          <w:jc w:val="center"/>
        </w:trPr>
        <w:tc>
          <w:tcPr>
            <w:tcW w:w="1830" w:type="dxa"/>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名称</w:t>
            </w:r>
          </w:p>
        </w:tc>
        <w:tc>
          <w:tcPr>
            <w:tcW w:w="2389" w:type="dxa"/>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评审因素</w:t>
            </w:r>
          </w:p>
        </w:tc>
        <w:tc>
          <w:tcPr>
            <w:tcW w:w="5352" w:type="dxa"/>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评审标准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438" w:hRule="atLeast"/>
          <w:jc w:val="center"/>
        </w:trPr>
        <w:tc>
          <w:tcPr>
            <w:tcW w:w="1830" w:type="dxa"/>
            <w:tcBorders>
              <w:bottom w:val="single" w:color="auto" w:sz="4" w:space="0"/>
              <w:righ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商务评价</w:t>
            </w:r>
          </w:p>
          <w:p>
            <w:pPr>
              <w:adjustRightInd w:val="0"/>
              <w:snapToGrid w:val="0"/>
              <w:spacing w:line="360" w:lineRule="auto"/>
              <w:jc w:val="center"/>
              <w:rPr>
                <w:rFonts w:ascii="Arial" w:hAnsi="Arial" w:cs="Arial"/>
                <w:snapToGrid w:val="0"/>
                <w:kern w:val="0"/>
                <w:sz w:val="24"/>
                <w:szCs w:val="24"/>
              </w:rPr>
            </w:pPr>
            <w:r>
              <w:rPr>
                <w:rFonts w:hint="eastAsia" w:ascii="Arial" w:hAnsi="宋体" w:cs="Arial"/>
                <w:snapToGrid w:val="0"/>
                <w:kern w:val="0"/>
                <w:sz w:val="24"/>
                <w:szCs w:val="24"/>
              </w:rPr>
              <w:t>（满分50分</w:t>
            </w:r>
            <w:r>
              <w:rPr>
                <w:rFonts w:ascii="Arial" w:hAnsi="宋体" w:cs="Arial"/>
                <w:snapToGrid w:val="0"/>
                <w:kern w:val="0"/>
                <w:sz w:val="24"/>
                <w:szCs w:val="24"/>
              </w:rPr>
              <w:t>）</w:t>
            </w: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投标报价</w:t>
            </w:r>
          </w:p>
        </w:tc>
        <w:tc>
          <w:tcPr>
            <w:tcW w:w="5352" w:type="dxa"/>
          </w:tcPr>
          <w:p>
            <w:pPr>
              <w:adjustRightInd w:val="0"/>
              <w:snapToGrid w:val="0"/>
              <w:spacing w:line="360" w:lineRule="auto"/>
              <w:jc w:val="center"/>
              <w:rPr>
                <w:rFonts w:ascii="Arial" w:hAnsi="宋体" w:cs="Arial"/>
                <w:snapToGrid w:val="0"/>
                <w:kern w:val="0"/>
                <w:sz w:val="24"/>
                <w:szCs w:val="24"/>
              </w:rPr>
            </w:pPr>
            <w:r>
              <w:rPr>
                <w:rFonts w:hint="eastAsia" w:ascii="Arial" w:hAnsi="宋体" w:cs="Arial"/>
                <w:snapToGrid w:val="0"/>
                <w:kern w:val="0"/>
                <w:sz w:val="24"/>
                <w:szCs w:val="24"/>
              </w:rPr>
              <w:t>（1）通过初步评审的所有投标人投标报价的算术</w:t>
            </w:r>
          </w:p>
          <w:p>
            <w:pPr>
              <w:adjustRightInd w:val="0"/>
              <w:snapToGrid w:val="0"/>
              <w:spacing w:line="360" w:lineRule="auto"/>
              <w:rPr>
                <w:rFonts w:ascii="Arial" w:hAnsi="宋体" w:cs="Arial"/>
                <w:snapToGrid w:val="0"/>
                <w:kern w:val="0"/>
                <w:sz w:val="24"/>
                <w:szCs w:val="24"/>
              </w:rPr>
            </w:pPr>
            <w:r>
              <w:rPr>
                <w:rFonts w:hint="eastAsia" w:ascii="Arial" w:hAnsi="宋体" w:cs="Arial"/>
                <w:snapToGrid w:val="0"/>
                <w:kern w:val="0"/>
                <w:sz w:val="24"/>
                <w:szCs w:val="24"/>
              </w:rPr>
              <w:t>平均值为为评标基准价。</w:t>
            </w:r>
          </w:p>
          <w:p>
            <w:pPr>
              <w:adjustRightInd w:val="0"/>
              <w:snapToGrid w:val="0"/>
              <w:spacing w:line="360" w:lineRule="auto"/>
              <w:jc w:val="center"/>
              <w:rPr>
                <w:rFonts w:ascii="Arial" w:hAnsi="宋体" w:cs="Arial"/>
                <w:snapToGrid w:val="0"/>
                <w:kern w:val="0"/>
                <w:sz w:val="24"/>
                <w:szCs w:val="24"/>
              </w:rPr>
            </w:pPr>
            <w:r>
              <w:rPr>
                <w:rFonts w:hint="eastAsia" w:ascii="Arial" w:hAnsi="宋体" w:cs="Arial"/>
                <w:snapToGrid w:val="0"/>
                <w:kern w:val="0"/>
                <w:sz w:val="24"/>
                <w:szCs w:val="24"/>
              </w:rPr>
              <w:t>（2）投标单位投标报价于评标基准价相比则：</w:t>
            </w:r>
          </w:p>
          <w:p>
            <w:pPr>
              <w:adjustRightInd w:val="0"/>
              <w:snapToGrid w:val="0"/>
              <w:spacing w:line="360" w:lineRule="auto"/>
              <w:rPr>
                <w:rFonts w:ascii="Arial" w:hAnsi="宋体" w:cs="Arial"/>
                <w:snapToGrid w:val="0"/>
                <w:kern w:val="0"/>
                <w:sz w:val="24"/>
                <w:szCs w:val="24"/>
              </w:rPr>
            </w:pPr>
            <w:r>
              <w:rPr>
                <w:rFonts w:hint="eastAsia" w:ascii="Arial" w:hAnsi="宋体" w:cs="Arial"/>
                <w:snapToGrid w:val="0"/>
                <w:kern w:val="0"/>
                <w:sz w:val="24"/>
                <w:szCs w:val="24"/>
              </w:rPr>
              <w:t>等于评标基准价得满分50分</w:t>
            </w:r>
          </w:p>
          <w:p>
            <w:pPr>
              <w:adjustRightInd w:val="0"/>
              <w:snapToGrid w:val="0"/>
              <w:spacing w:line="360" w:lineRule="auto"/>
              <w:jc w:val="center"/>
              <w:rPr>
                <w:rFonts w:ascii="Arial" w:hAnsi="宋体" w:cs="Arial"/>
                <w:snapToGrid w:val="0"/>
                <w:kern w:val="0"/>
                <w:sz w:val="24"/>
                <w:szCs w:val="24"/>
              </w:rPr>
            </w:pPr>
            <w:r>
              <w:rPr>
                <w:rFonts w:hint="eastAsia" w:ascii="Arial" w:hAnsi="宋体" w:cs="Arial"/>
                <w:snapToGrid w:val="0"/>
                <w:kern w:val="0"/>
                <w:sz w:val="24"/>
                <w:szCs w:val="24"/>
              </w:rPr>
              <w:t>高于评标基准价，每高1%扣2分，扣完为止</w:t>
            </w:r>
          </w:p>
          <w:p>
            <w:pPr>
              <w:adjustRightInd w:val="0"/>
              <w:snapToGrid w:val="0"/>
              <w:spacing w:line="360" w:lineRule="auto"/>
              <w:jc w:val="center"/>
              <w:rPr>
                <w:rFonts w:ascii="宋体"/>
                <w:u w:val="single"/>
              </w:rPr>
            </w:pPr>
            <w:r>
              <w:rPr>
                <w:rFonts w:hint="eastAsia" w:ascii="Arial" w:hAnsi="宋体" w:cs="Arial"/>
                <w:snapToGrid w:val="0"/>
                <w:kern w:val="0"/>
                <w:sz w:val="24"/>
                <w:szCs w:val="24"/>
              </w:rPr>
              <w:t>低于评标基准价，每低1%扣1分，扣完为止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07" w:hRule="atLeast"/>
          <w:jc w:val="center"/>
        </w:trPr>
        <w:tc>
          <w:tcPr>
            <w:tcW w:w="1830" w:type="dxa"/>
            <w:vMerge w:val="restart"/>
            <w:tcBorders>
              <w:right w:val="single" w:color="auto" w:sz="4" w:space="0"/>
            </w:tcBorders>
            <w:vAlign w:val="center"/>
          </w:tcPr>
          <w:p>
            <w:pPr>
              <w:adjustRightInd w:val="0"/>
              <w:snapToGrid w:val="0"/>
              <w:spacing w:line="360" w:lineRule="auto"/>
              <w:jc w:val="center"/>
              <w:rPr>
                <w:rFonts w:ascii="Arial" w:hAnsi="宋体" w:cs="Arial"/>
                <w:snapToGrid w:val="0"/>
                <w:kern w:val="0"/>
                <w:sz w:val="24"/>
                <w:szCs w:val="24"/>
              </w:rPr>
            </w:pPr>
            <w:r>
              <w:rPr>
                <w:rFonts w:ascii="Arial" w:hAnsi="宋体" w:cs="Arial"/>
                <w:snapToGrid w:val="0"/>
                <w:kern w:val="0"/>
                <w:sz w:val="24"/>
                <w:szCs w:val="24"/>
              </w:rPr>
              <w:t>技术评价</w:t>
            </w:r>
          </w:p>
          <w:p>
            <w:pPr>
              <w:adjustRightInd w:val="0"/>
              <w:snapToGrid w:val="0"/>
              <w:spacing w:line="360" w:lineRule="auto"/>
              <w:jc w:val="center"/>
              <w:rPr>
                <w:rFonts w:ascii="Arial" w:hAnsi="Arial" w:cs="Arial"/>
                <w:snapToGrid w:val="0"/>
                <w:kern w:val="0"/>
                <w:sz w:val="24"/>
                <w:szCs w:val="24"/>
              </w:rPr>
            </w:pPr>
            <w:r>
              <w:rPr>
                <w:rFonts w:hint="eastAsia" w:ascii="Arial" w:hAnsi="宋体" w:cs="Arial"/>
                <w:snapToGrid w:val="0"/>
                <w:kern w:val="0"/>
                <w:sz w:val="24"/>
                <w:szCs w:val="24"/>
              </w:rPr>
              <w:t>（满分50分）</w:t>
            </w: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hint="eastAsia" w:ascii="Arial" w:hAnsi="宋体" w:cs="Arial"/>
                <w:snapToGrid w:val="0"/>
                <w:kern w:val="0"/>
                <w:sz w:val="24"/>
                <w:szCs w:val="24"/>
              </w:rPr>
              <w:t>企业</w:t>
            </w:r>
            <w:r>
              <w:rPr>
                <w:rFonts w:ascii="Arial" w:hAnsi="宋体" w:cs="Arial"/>
                <w:snapToGrid w:val="0"/>
                <w:kern w:val="0"/>
                <w:sz w:val="24"/>
                <w:szCs w:val="24"/>
              </w:rPr>
              <w:t>业绩</w:t>
            </w:r>
          </w:p>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（满分</w:t>
            </w:r>
            <w:r>
              <w:rPr>
                <w:rFonts w:hint="eastAsia" w:ascii="Arial" w:hAnsi="宋体" w:cs="Arial"/>
                <w:snapToGrid w:val="0"/>
                <w:kern w:val="0"/>
                <w:sz w:val="24"/>
                <w:szCs w:val="24"/>
              </w:rPr>
              <w:t>10</w:t>
            </w:r>
            <w:r>
              <w:rPr>
                <w:rFonts w:ascii="Arial" w:hAnsi="宋体" w:cs="Arial"/>
                <w:snapToGrid w:val="0"/>
                <w:kern w:val="0"/>
                <w:sz w:val="24"/>
                <w:szCs w:val="24"/>
              </w:rPr>
              <w:t>分）</w:t>
            </w:r>
          </w:p>
        </w:tc>
        <w:tc>
          <w:tcPr>
            <w:tcW w:w="5352" w:type="dxa"/>
          </w:tcPr>
          <w:p>
            <w:pPr>
              <w:adjustRightInd w:val="0"/>
              <w:snapToGrid w:val="0"/>
              <w:spacing w:line="360" w:lineRule="auto"/>
              <w:rPr>
                <w:rFonts w:ascii="Arial" w:hAnsi="Arial" w:cs="Arial"/>
                <w:b/>
                <w:snapToGrid w:val="0"/>
                <w:kern w:val="0"/>
                <w:sz w:val="24"/>
                <w:szCs w:val="24"/>
              </w:rPr>
            </w:pPr>
            <w:r>
              <w:rPr>
                <w:rFonts w:ascii="Arial" w:hAnsi="宋体" w:cs="Arial"/>
                <w:snapToGrid w:val="0"/>
                <w:kern w:val="0"/>
                <w:sz w:val="24"/>
                <w:szCs w:val="24"/>
              </w:rPr>
              <w:t>投标人同类项目经验：</w:t>
            </w:r>
            <w:r>
              <w:rPr>
                <w:rFonts w:hint="eastAsia" w:ascii="Arial" w:hAnsi="宋体" w:cs="Arial"/>
                <w:snapToGrid w:val="0"/>
                <w:kern w:val="0"/>
                <w:sz w:val="24"/>
                <w:szCs w:val="24"/>
              </w:rPr>
              <w:t>从</w:t>
            </w:r>
            <w:r>
              <w:rPr>
                <w:rFonts w:hint="eastAsia" w:ascii="宋体" w:hAnsi="宋体" w:cs="宋体"/>
                <w:sz w:val="24"/>
                <w:szCs w:val="24"/>
              </w:rPr>
              <w:t>201</w:t>
            </w:r>
            <w:r>
              <w:rPr>
                <w:rFonts w:hint="eastAsia" w:ascii="宋体" w:hAnsi="宋体" w:cs="宋体"/>
                <w:sz w:val="24"/>
                <w:szCs w:val="24"/>
                <w:lang w:val="en-US" w:eastAsia="zh-CN"/>
              </w:rPr>
              <w:t>3</w:t>
            </w: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—201</w:t>
            </w:r>
            <w:r>
              <w:rPr>
                <w:rFonts w:hint="eastAsia" w:ascii="宋体" w:hAnsi="宋体" w:cs="宋体"/>
                <w:sz w:val="24"/>
                <w:szCs w:val="24"/>
                <w:lang w:val="en-US" w:eastAsia="zh-CN"/>
              </w:rPr>
              <w:t>7</w:t>
            </w: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止。</w:t>
            </w:r>
          </w:p>
          <w:p>
            <w:pPr>
              <w:adjustRightInd w:val="0"/>
              <w:snapToGrid w:val="0"/>
              <w:spacing w:line="360" w:lineRule="auto"/>
              <w:rPr>
                <w:rFonts w:ascii="Arial" w:hAnsi="Arial" w:cs="Arial"/>
                <w:snapToGrid w:val="0"/>
                <w:kern w:val="0"/>
                <w:sz w:val="24"/>
                <w:szCs w:val="24"/>
              </w:rPr>
            </w:pPr>
            <w:r>
              <w:rPr>
                <w:rFonts w:hint="eastAsia" w:ascii="Arial" w:hAnsi="宋体" w:cs="Arial"/>
                <w:snapToGrid w:val="0"/>
                <w:kern w:val="0"/>
                <w:sz w:val="24"/>
                <w:szCs w:val="24"/>
              </w:rPr>
              <w:t>投标单位有5个类似项目以上的</w:t>
            </w:r>
            <w:r>
              <w:rPr>
                <w:rFonts w:ascii="Arial" w:hAnsi="宋体" w:cs="Arial"/>
                <w:snapToGrid w:val="0"/>
                <w:kern w:val="0"/>
                <w:sz w:val="24"/>
                <w:szCs w:val="24"/>
              </w:rPr>
              <w:t>业绩为</w:t>
            </w:r>
            <w:r>
              <w:rPr>
                <w:rFonts w:hint="eastAsia" w:ascii="Arial" w:hAnsi="Arial" w:cs="Arial"/>
                <w:snapToGrid w:val="0"/>
                <w:kern w:val="0"/>
                <w:sz w:val="24"/>
                <w:szCs w:val="24"/>
              </w:rPr>
              <w:t>10</w:t>
            </w:r>
            <w:r>
              <w:rPr>
                <w:rFonts w:ascii="Arial" w:hAnsi="宋体" w:cs="Arial"/>
                <w:snapToGrid w:val="0"/>
                <w:kern w:val="0"/>
                <w:sz w:val="24"/>
                <w:szCs w:val="24"/>
              </w:rPr>
              <w:t>分，仅有</w:t>
            </w:r>
            <w:r>
              <w:rPr>
                <w:rFonts w:hint="eastAsia" w:ascii="Arial" w:hAnsi="宋体" w:cs="Arial"/>
                <w:snapToGrid w:val="0"/>
                <w:kern w:val="0"/>
                <w:sz w:val="24"/>
                <w:szCs w:val="24"/>
              </w:rPr>
              <w:t>4个</w:t>
            </w:r>
            <w:r>
              <w:rPr>
                <w:rFonts w:ascii="Arial" w:hAnsi="宋体" w:cs="Arial"/>
                <w:snapToGrid w:val="0"/>
                <w:kern w:val="0"/>
                <w:sz w:val="24"/>
                <w:szCs w:val="24"/>
              </w:rPr>
              <w:t>为</w:t>
            </w:r>
            <w:r>
              <w:rPr>
                <w:rFonts w:hint="eastAsia" w:ascii="Arial" w:hAnsi="Arial" w:cs="Arial"/>
                <w:snapToGrid w:val="0"/>
                <w:kern w:val="0"/>
                <w:sz w:val="24"/>
                <w:szCs w:val="24"/>
              </w:rPr>
              <w:t>7</w:t>
            </w:r>
            <w:r>
              <w:rPr>
                <w:rFonts w:ascii="Arial" w:hAnsi="宋体" w:cs="Arial"/>
                <w:snapToGrid w:val="0"/>
                <w:kern w:val="0"/>
                <w:sz w:val="24"/>
                <w:szCs w:val="24"/>
              </w:rPr>
              <w:t>分，</w:t>
            </w:r>
            <w:r>
              <w:rPr>
                <w:rFonts w:hint="eastAsia" w:ascii="Arial" w:hAnsi="宋体" w:cs="Arial"/>
                <w:snapToGrid w:val="0"/>
                <w:kern w:val="0"/>
                <w:sz w:val="24"/>
                <w:szCs w:val="24"/>
              </w:rPr>
              <w:t>3个为3分，没有不得</w:t>
            </w:r>
            <w:r>
              <w:rPr>
                <w:rFonts w:ascii="Arial" w:hAnsi="宋体" w:cs="Arial"/>
                <w:snapToGrid w:val="0"/>
                <w:kern w:val="0"/>
                <w:sz w:val="24"/>
                <w:szCs w:val="24"/>
              </w:rPr>
              <w:t>分。（开标时提交合同封面页、价格页及签字页复印件（加盖印章或有</w:t>
            </w:r>
            <w:r>
              <w:rPr>
                <w:rFonts w:hint="eastAsia" w:ascii="Arial" w:hAnsi="宋体" w:cs="Arial"/>
                <w:snapToGrid w:val="0"/>
                <w:kern w:val="0"/>
                <w:sz w:val="24"/>
                <w:szCs w:val="24"/>
              </w:rPr>
              <w:t>权</w:t>
            </w:r>
            <w:r>
              <w:rPr>
                <w:rFonts w:ascii="Arial" w:hAnsi="宋体" w:cs="Arial"/>
                <w:snapToGrid w:val="0"/>
                <w:kern w:val="0"/>
                <w:sz w:val="24"/>
                <w:szCs w:val="24"/>
              </w:rPr>
              <w:t>人签字或同等证明文件查验）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036" w:hRule="atLeast"/>
          <w:jc w:val="center"/>
        </w:trPr>
        <w:tc>
          <w:tcPr>
            <w:tcW w:w="1830" w:type="dxa"/>
            <w:vMerge w:val="continue"/>
            <w:tcBorders>
              <w:right w:val="single" w:color="auto" w:sz="4" w:space="0"/>
            </w:tcBorders>
            <w:vAlign w:val="center"/>
          </w:tcPr>
          <w:p>
            <w:pPr>
              <w:adjustRightInd w:val="0"/>
              <w:snapToGrid w:val="0"/>
              <w:spacing w:line="360" w:lineRule="auto"/>
              <w:jc w:val="center"/>
              <w:rPr>
                <w:rFonts w:ascii="Arial" w:hAnsi="Arial" w:cs="Arial"/>
                <w:snapToGrid w:val="0"/>
                <w:kern w:val="0"/>
                <w:sz w:val="24"/>
                <w:szCs w:val="24"/>
              </w:rPr>
            </w:pP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hint="eastAsia" w:ascii="Arial" w:hAnsi="宋体" w:cs="Arial"/>
                <w:snapToGrid w:val="0"/>
                <w:kern w:val="0"/>
                <w:sz w:val="24"/>
                <w:szCs w:val="24"/>
              </w:rPr>
              <w:t>技术方案</w:t>
            </w:r>
            <w:r>
              <w:rPr>
                <w:rFonts w:ascii="Arial" w:hAnsi="宋体" w:cs="Arial"/>
                <w:snapToGrid w:val="0"/>
                <w:kern w:val="0"/>
                <w:sz w:val="24"/>
                <w:szCs w:val="24"/>
              </w:rPr>
              <w:t>（</w:t>
            </w:r>
            <w:r>
              <w:rPr>
                <w:rFonts w:hint="eastAsia" w:ascii="Arial" w:hAnsi="Arial" w:cs="Arial"/>
                <w:snapToGrid w:val="0"/>
                <w:kern w:val="0"/>
                <w:sz w:val="24"/>
                <w:szCs w:val="24"/>
              </w:rPr>
              <w:t>25</w:t>
            </w:r>
            <w:r>
              <w:rPr>
                <w:rFonts w:ascii="Arial" w:hAnsi="宋体" w:cs="Arial"/>
                <w:snapToGrid w:val="0"/>
                <w:kern w:val="0"/>
                <w:sz w:val="24"/>
                <w:szCs w:val="24"/>
              </w:rPr>
              <w:t>分）</w:t>
            </w:r>
          </w:p>
          <w:p>
            <w:pPr>
              <w:adjustRightInd w:val="0"/>
              <w:snapToGrid w:val="0"/>
              <w:spacing w:line="360" w:lineRule="auto"/>
              <w:rPr>
                <w:rFonts w:ascii="Arial" w:hAnsi="Arial" w:cs="Arial"/>
                <w:snapToGrid w:val="0"/>
                <w:kern w:val="0"/>
                <w:sz w:val="24"/>
                <w:szCs w:val="24"/>
              </w:rPr>
            </w:pPr>
          </w:p>
        </w:tc>
        <w:tc>
          <w:tcPr>
            <w:tcW w:w="5352" w:type="dxa"/>
          </w:tcPr>
          <w:p>
            <w:pPr>
              <w:adjustRightInd w:val="0"/>
              <w:snapToGrid w:val="0"/>
              <w:spacing w:line="360" w:lineRule="auto"/>
              <w:rPr>
                <w:rFonts w:ascii="Arial" w:hAnsi="Arial" w:cs="Arial"/>
                <w:snapToGrid w:val="0"/>
                <w:kern w:val="0"/>
                <w:sz w:val="24"/>
                <w:szCs w:val="24"/>
              </w:rPr>
            </w:pPr>
            <w:r>
              <w:rPr>
                <w:rFonts w:hint="eastAsia" w:ascii="宋体" w:hAnsi="宋体" w:cs="宋体"/>
                <w:kern w:val="0"/>
                <w:sz w:val="24"/>
              </w:rPr>
              <w:t>方案优秀得20~25分，方案良好得12~19分，方案一般得6~11分，不能够提供不得分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0" w:hRule="atLeast"/>
          <w:jc w:val="center"/>
        </w:trPr>
        <w:tc>
          <w:tcPr>
            <w:tcW w:w="1830" w:type="dxa"/>
            <w:vMerge w:val="continue"/>
            <w:tcBorders>
              <w:right w:val="single" w:color="auto" w:sz="4" w:space="0"/>
            </w:tcBorders>
            <w:vAlign w:val="center"/>
          </w:tcPr>
          <w:p>
            <w:pPr>
              <w:adjustRightInd w:val="0"/>
              <w:snapToGrid w:val="0"/>
              <w:spacing w:line="360" w:lineRule="auto"/>
              <w:rPr>
                <w:rFonts w:ascii="Arial" w:hAnsi="Arial" w:cs="Arial"/>
                <w:snapToGrid w:val="0"/>
                <w:kern w:val="0"/>
                <w:sz w:val="24"/>
                <w:szCs w:val="24"/>
              </w:rPr>
            </w:pPr>
          </w:p>
        </w:tc>
        <w:tc>
          <w:tcPr>
            <w:tcW w:w="2389" w:type="dxa"/>
            <w:tcBorders>
              <w:left w:val="single" w:color="auto" w:sz="4" w:space="0"/>
            </w:tcBorders>
            <w:vAlign w:val="center"/>
          </w:tcPr>
          <w:p>
            <w:pPr>
              <w:adjustRightInd w:val="0"/>
              <w:snapToGrid w:val="0"/>
              <w:spacing w:line="360" w:lineRule="auto"/>
              <w:jc w:val="center"/>
              <w:rPr>
                <w:rFonts w:ascii="Arial" w:hAnsi="Arial" w:cs="Arial"/>
                <w:snapToGrid w:val="0"/>
                <w:kern w:val="0"/>
                <w:sz w:val="24"/>
                <w:szCs w:val="24"/>
              </w:rPr>
            </w:pPr>
            <w:r>
              <w:rPr>
                <w:rFonts w:ascii="Arial" w:hAnsi="宋体" w:cs="Arial"/>
                <w:snapToGrid w:val="0"/>
                <w:kern w:val="0"/>
                <w:sz w:val="24"/>
                <w:szCs w:val="24"/>
              </w:rPr>
              <w:t>服务</w:t>
            </w:r>
            <w:r>
              <w:rPr>
                <w:rFonts w:hint="eastAsia" w:ascii="Arial" w:hAnsi="宋体" w:cs="Arial"/>
                <w:snapToGrid w:val="0"/>
                <w:kern w:val="0"/>
                <w:sz w:val="24"/>
                <w:szCs w:val="24"/>
              </w:rPr>
              <w:t>方案</w:t>
            </w:r>
            <w:r>
              <w:rPr>
                <w:rFonts w:ascii="Arial" w:hAnsi="宋体" w:cs="Arial"/>
                <w:snapToGrid w:val="0"/>
                <w:kern w:val="0"/>
                <w:sz w:val="24"/>
                <w:szCs w:val="24"/>
              </w:rPr>
              <w:t>（</w:t>
            </w:r>
            <w:r>
              <w:rPr>
                <w:rFonts w:hint="eastAsia" w:ascii="Arial" w:hAnsi="Arial" w:cs="Arial"/>
                <w:snapToGrid w:val="0"/>
                <w:kern w:val="0"/>
                <w:sz w:val="24"/>
                <w:szCs w:val="24"/>
              </w:rPr>
              <w:t>15</w:t>
            </w:r>
            <w:r>
              <w:rPr>
                <w:rFonts w:ascii="Arial" w:hAnsi="宋体" w:cs="Arial"/>
                <w:snapToGrid w:val="0"/>
                <w:kern w:val="0"/>
                <w:sz w:val="24"/>
                <w:szCs w:val="24"/>
              </w:rPr>
              <w:t>分）</w:t>
            </w:r>
          </w:p>
        </w:tc>
        <w:tc>
          <w:tcPr>
            <w:tcW w:w="5352" w:type="dxa"/>
            <w:vAlign w:val="center"/>
          </w:tcPr>
          <w:p>
            <w:pPr>
              <w:adjustRightInd w:val="0"/>
              <w:snapToGrid w:val="0"/>
              <w:spacing w:line="360" w:lineRule="auto"/>
              <w:rPr>
                <w:rFonts w:ascii="Arial" w:hAnsi="Arial" w:cs="Arial"/>
                <w:snapToGrid w:val="0"/>
                <w:kern w:val="0"/>
                <w:sz w:val="24"/>
                <w:szCs w:val="24"/>
              </w:rPr>
            </w:pPr>
            <w:r>
              <w:rPr>
                <w:rFonts w:hint="eastAsia" w:ascii="Arial" w:hAnsi="宋体" w:cs="Arial"/>
                <w:snapToGrid w:val="0"/>
                <w:kern w:val="0"/>
                <w:sz w:val="24"/>
                <w:szCs w:val="24"/>
              </w:rPr>
              <w:t>团队构成及服务承诺</w:t>
            </w:r>
            <w:r>
              <w:rPr>
                <w:rFonts w:ascii="Arial" w:hAnsi="宋体" w:cs="Arial"/>
                <w:snapToGrid w:val="0"/>
                <w:kern w:val="0"/>
                <w:sz w:val="24"/>
                <w:szCs w:val="24"/>
              </w:rPr>
              <w:t>。</w:t>
            </w:r>
          </w:p>
        </w:tc>
      </w:tr>
    </w:tbl>
    <w:p>
      <w:pPr>
        <w:spacing w:line="480" w:lineRule="exact"/>
        <w:rPr>
          <w:rFonts w:ascii="宋体" w:hAnsi="宋体" w:cs="宋体"/>
          <w:bCs/>
          <w:sz w:val="24"/>
          <w:szCs w:val="24"/>
        </w:rPr>
      </w:pPr>
    </w:p>
    <w:p>
      <w:pPr>
        <w:pStyle w:val="3"/>
        <w:rPr>
          <w:rFonts w:ascii="宋体" w:hAnsi="宋体" w:eastAsia="宋体" w:cs="宋体"/>
        </w:rPr>
      </w:pPr>
      <w:bookmarkStart w:id="69" w:name="_Toc457481159"/>
      <w:bookmarkStart w:id="70" w:name="_Toc333592955"/>
      <w:r>
        <w:rPr>
          <w:rFonts w:hint="eastAsia" w:ascii="宋体" w:hAnsi="宋体" w:eastAsia="宋体" w:cs="宋体"/>
        </w:rPr>
        <w:t>6</w:t>
      </w:r>
      <w:bookmarkStart w:id="71" w:name="Zongze15jieguo27"/>
      <w:bookmarkEnd w:id="71"/>
      <w:r>
        <w:rPr>
          <w:rFonts w:hint="eastAsia" w:ascii="宋体" w:hAnsi="宋体" w:eastAsia="宋体" w:cs="宋体"/>
        </w:rPr>
        <w:t>评标结果公示</w:t>
      </w:r>
      <w:bookmarkEnd w:id="69"/>
      <w:bookmarkEnd w:id="70"/>
    </w:p>
    <w:p>
      <w:pPr>
        <w:spacing w:line="480" w:lineRule="exact"/>
        <w:rPr>
          <w:rFonts w:ascii="宋体" w:hAnsi="宋体" w:cs="宋体"/>
          <w:sz w:val="24"/>
          <w:szCs w:val="24"/>
        </w:rPr>
      </w:pPr>
      <w:r>
        <w:rPr>
          <w:rFonts w:hint="eastAsia" w:ascii="宋体" w:hAnsi="宋体" w:cs="宋体"/>
          <w:sz w:val="24"/>
          <w:szCs w:val="24"/>
        </w:rPr>
        <w:t>评标结束后，建设方确认评标结果，将邮件或电话</w:t>
      </w:r>
      <w:r>
        <w:rPr>
          <w:rStyle w:val="24"/>
          <w:rFonts w:hint="eastAsia" w:ascii="宋体" w:hAnsi="宋体" w:eastAsia="宋体" w:cs="宋体"/>
          <w:color w:val="auto"/>
        </w:rPr>
        <w:t>方式通知参与方</w:t>
      </w:r>
      <w:r>
        <w:rPr>
          <w:rFonts w:hint="eastAsia" w:ascii="宋体" w:hAnsi="宋体" w:cs="宋体"/>
          <w:sz w:val="24"/>
          <w:szCs w:val="24"/>
        </w:rPr>
        <w:t>评标结果，若投标人对评标结果有异议，可在3日内提出书面质疑。</w:t>
      </w:r>
    </w:p>
    <w:p>
      <w:pPr>
        <w:pStyle w:val="3"/>
        <w:rPr>
          <w:rFonts w:ascii="宋体" w:hAnsi="宋体" w:eastAsia="宋体" w:cs="宋体"/>
        </w:rPr>
      </w:pPr>
      <w:bookmarkStart w:id="72" w:name="_Toc457481160"/>
      <w:bookmarkStart w:id="73" w:name="_Toc333592956"/>
      <w:r>
        <w:rPr>
          <w:rFonts w:hint="eastAsia" w:ascii="宋体" w:hAnsi="宋体" w:eastAsia="宋体" w:cs="宋体"/>
        </w:rPr>
        <w:t>7《中标通知书》及《评标结果通知书》的发放</w:t>
      </w:r>
      <w:bookmarkEnd w:id="72"/>
      <w:bookmarkEnd w:id="73"/>
    </w:p>
    <w:p>
      <w:pPr>
        <w:pStyle w:val="4"/>
        <w:ind w:firstLine="480"/>
        <w:rPr>
          <w:b/>
          <w:sz w:val="36"/>
          <w:szCs w:val="36"/>
        </w:rPr>
        <w:sectPr>
          <w:pgSz w:w="11906" w:h="16838"/>
          <w:pgMar w:top="1361" w:right="1361" w:bottom="1361" w:left="1361" w:header="851" w:footer="992" w:gutter="0"/>
          <w:cols w:space="720" w:num="1"/>
          <w:docGrid w:type="lines" w:linePitch="312" w:charSpace="0"/>
        </w:sectPr>
      </w:pPr>
      <w:r>
        <w:rPr>
          <w:rFonts w:hint="eastAsia" w:ascii="宋体" w:hAnsi="宋体" w:cs="宋体"/>
          <w:kern w:val="2"/>
          <w:sz w:val="24"/>
          <w:szCs w:val="24"/>
        </w:rPr>
        <w:t>开标结果结束后，7日之内，中标通知书由建设方盖章后，以书面通知中标单位。</w:t>
      </w:r>
    </w:p>
    <w:p>
      <w:pPr>
        <w:pStyle w:val="2"/>
        <w:jc w:val="center"/>
      </w:pPr>
      <w:bookmarkStart w:id="74" w:name="_Toc457481161"/>
      <w:r>
        <w:rPr>
          <w:rFonts w:hint="eastAsia"/>
        </w:rPr>
        <w:t>第三部分</w:t>
      </w:r>
      <w:r>
        <w:rPr>
          <w:rFonts w:hint="eastAsia"/>
          <w:lang w:eastAsia="zh-CN"/>
        </w:rPr>
        <w:t>第三方监测及主体沉降观测</w:t>
      </w:r>
      <w:r>
        <w:rPr>
          <w:rFonts w:hint="eastAsia"/>
        </w:rPr>
        <w:t>任务书及要求</w:t>
      </w:r>
      <w:bookmarkEnd w:id="74"/>
    </w:p>
    <w:p>
      <w:pPr>
        <w:pStyle w:val="2"/>
        <w:jc w:val="center"/>
      </w:pPr>
    </w:p>
    <w:p>
      <w:pPr>
        <w:rPr>
          <w:rFonts w:hint="eastAsia" w:eastAsia="宋体"/>
          <w:lang w:eastAsia="zh-CN"/>
        </w:rPr>
      </w:pPr>
      <w:r>
        <w:rPr>
          <w:rFonts w:hint="eastAsia"/>
          <w:lang w:val="en-US" w:eastAsia="zh-CN"/>
        </w:rPr>
        <w:t>一</w:t>
      </w:r>
      <w:r>
        <w:rPr>
          <w:rFonts w:hint="eastAsia"/>
          <w:b/>
          <w:bCs/>
          <w:lang w:val="en-US" w:eastAsia="zh-CN"/>
        </w:rPr>
        <w:t>、</w:t>
      </w:r>
      <w:r>
        <w:rPr>
          <w:rFonts w:hint="eastAsia"/>
          <w:b/>
          <w:bCs/>
          <w:lang w:eastAsia="zh-CN"/>
        </w:rPr>
        <w:t>基坑支护</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sz w:val="24"/>
        </w:rPr>
      </w:pPr>
      <w:r>
        <w:rPr>
          <w:rFonts w:hAnsi="宋体"/>
          <w:sz w:val="24"/>
        </w:rPr>
        <w:t>监测目的</w:t>
      </w:r>
    </w:p>
    <w:p>
      <w:pPr>
        <w:spacing w:line="360" w:lineRule="auto"/>
        <w:ind w:firstLine="480" w:firstLineChars="200"/>
        <w:rPr>
          <w:rFonts w:hint="eastAsia"/>
          <w:sz w:val="24"/>
        </w:rPr>
      </w:pPr>
      <w:r>
        <w:rPr>
          <w:rFonts w:hint="eastAsia" w:hAnsi="宋体"/>
          <w:sz w:val="24"/>
        </w:rPr>
        <w:t>在</w:t>
      </w:r>
      <w:r>
        <w:rPr>
          <w:rFonts w:hAnsi="宋体"/>
          <w:sz w:val="24"/>
        </w:rPr>
        <w:t>基坑及地下室施工过程中必须进行监测，并制定合理周到的监测方案，实行动态设计和信息化施工，以确保基坑及周边建（构）筑物的安全和地下室施工的顺利进行。</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00" w:firstLineChars="0"/>
        <w:jc w:val="both"/>
        <w:textAlignment w:val="auto"/>
        <w:outlineLvl w:val="9"/>
        <w:rPr>
          <w:rFonts w:hint="eastAsia" w:hAnsi="宋体"/>
          <w:sz w:val="24"/>
        </w:rPr>
      </w:pPr>
      <w:r>
        <w:rPr>
          <w:rFonts w:hAnsi="宋体"/>
          <w:sz w:val="24"/>
        </w:rPr>
        <w:t>监测项目</w:t>
      </w:r>
      <w:r>
        <w:rPr>
          <w:rFonts w:hint="eastAsia" w:hAnsi="宋体"/>
          <w:sz w:val="24"/>
        </w:rPr>
        <w:t>及监测方法（元件）</w:t>
      </w:r>
    </w:p>
    <w:p>
      <w:pPr>
        <w:numPr>
          <w:ilvl w:val="0"/>
          <w:numId w:val="2"/>
        </w:numPr>
        <w:spacing w:line="360" w:lineRule="auto"/>
        <w:ind w:firstLine="480" w:firstLineChars="200"/>
        <w:rPr>
          <w:rFonts w:hAnsi="宋体"/>
          <w:sz w:val="24"/>
        </w:rPr>
      </w:pPr>
      <w:r>
        <w:rPr>
          <w:rFonts w:hint="eastAsia" w:hAnsi="宋体"/>
          <w:sz w:val="24"/>
          <w:lang w:eastAsia="zh-CN"/>
        </w:rPr>
        <w:t>桩</w:t>
      </w:r>
      <w:r>
        <w:rPr>
          <w:rFonts w:hAnsi="宋体"/>
          <w:sz w:val="24"/>
        </w:rPr>
        <w:t>顶水平位移</w:t>
      </w:r>
      <w:r>
        <w:rPr>
          <w:rFonts w:hint="eastAsia" w:hAnsi="宋体"/>
          <w:sz w:val="24"/>
        </w:rPr>
        <w:t>采用全站仪观测</w:t>
      </w:r>
      <w:r>
        <w:rPr>
          <w:rFonts w:hAnsi="宋体"/>
          <w:sz w:val="24"/>
        </w:rPr>
        <w:t>；</w:t>
      </w:r>
    </w:p>
    <w:p>
      <w:pPr>
        <w:numPr>
          <w:ilvl w:val="0"/>
          <w:numId w:val="2"/>
        </w:numPr>
        <w:spacing w:line="360" w:lineRule="auto"/>
        <w:ind w:firstLine="480" w:firstLineChars="200"/>
        <w:rPr>
          <w:rFonts w:hAnsi="宋体"/>
          <w:sz w:val="24"/>
        </w:rPr>
      </w:pPr>
      <w:r>
        <w:rPr>
          <w:rFonts w:hint="eastAsia" w:hAnsi="宋体"/>
          <w:sz w:val="24"/>
          <w:lang w:eastAsia="zh-CN"/>
        </w:rPr>
        <w:t>桩顶竖向位移</w:t>
      </w:r>
      <w:r>
        <w:rPr>
          <w:rFonts w:hint="eastAsia" w:hAnsi="宋体"/>
          <w:sz w:val="24"/>
        </w:rPr>
        <w:t>采用水准仪观测</w:t>
      </w:r>
      <w:r>
        <w:rPr>
          <w:rFonts w:hAnsi="宋体"/>
          <w:sz w:val="24"/>
        </w:rPr>
        <w:t>；</w:t>
      </w:r>
    </w:p>
    <w:p>
      <w:pPr>
        <w:numPr>
          <w:ilvl w:val="0"/>
          <w:numId w:val="2"/>
        </w:numPr>
        <w:spacing w:line="360" w:lineRule="auto"/>
        <w:ind w:firstLine="480" w:firstLineChars="200"/>
        <w:rPr>
          <w:rFonts w:hAnsi="宋体"/>
          <w:sz w:val="24"/>
        </w:rPr>
      </w:pPr>
      <w:r>
        <w:rPr>
          <w:rFonts w:hint="eastAsia" w:hAnsi="宋体"/>
          <w:sz w:val="24"/>
          <w:lang w:eastAsia="zh-CN"/>
        </w:rPr>
        <w:t>深层</w:t>
      </w:r>
      <w:r>
        <w:rPr>
          <w:rFonts w:hint="eastAsia" w:hAnsi="宋体"/>
          <w:sz w:val="24"/>
        </w:rPr>
        <w:t>水平位移采用测斜仪观测；</w:t>
      </w:r>
    </w:p>
    <w:p>
      <w:pPr>
        <w:numPr>
          <w:ilvl w:val="0"/>
          <w:numId w:val="2"/>
        </w:numPr>
        <w:spacing w:line="360" w:lineRule="auto"/>
        <w:ind w:firstLine="480" w:firstLineChars="200"/>
        <w:rPr>
          <w:rFonts w:hAnsi="宋体"/>
          <w:sz w:val="24"/>
        </w:rPr>
      </w:pPr>
      <w:r>
        <w:rPr>
          <w:rFonts w:hint="eastAsia" w:hAnsi="宋体"/>
          <w:sz w:val="24"/>
          <w:lang w:eastAsia="zh-CN"/>
        </w:rPr>
        <w:t>基坑周边地表沉降、管线沉降</w:t>
      </w:r>
      <w:r>
        <w:rPr>
          <w:rFonts w:hint="eastAsia" w:hAnsi="宋体"/>
          <w:sz w:val="24"/>
        </w:rPr>
        <w:t>、</w:t>
      </w:r>
      <w:r>
        <w:rPr>
          <w:rFonts w:hint="eastAsia" w:hAnsi="宋体"/>
          <w:sz w:val="24"/>
          <w:lang w:eastAsia="zh-CN"/>
        </w:rPr>
        <w:t>建筑物沉降及</w:t>
      </w:r>
      <w:r>
        <w:rPr>
          <w:rFonts w:hint="eastAsia" w:hAnsi="宋体"/>
          <w:sz w:val="24"/>
        </w:rPr>
        <w:t>道路</w:t>
      </w:r>
      <w:r>
        <w:rPr>
          <w:rFonts w:hint="eastAsia" w:hAnsi="宋体"/>
          <w:sz w:val="24"/>
          <w:lang w:eastAsia="zh-CN"/>
        </w:rPr>
        <w:t>沉降</w:t>
      </w:r>
      <w:r>
        <w:rPr>
          <w:rFonts w:hint="eastAsia" w:hAnsi="宋体"/>
          <w:sz w:val="24"/>
        </w:rPr>
        <w:t>采用水准仪观测</w:t>
      </w:r>
      <w:r>
        <w:rPr>
          <w:rFonts w:hAnsi="宋体"/>
          <w:sz w:val="24"/>
        </w:rPr>
        <w:t>；</w:t>
      </w:r>
    </w:p>
    <w:p>
      <w:pPr>
        <w:numPr>
          <w:ilvl w:val="0"/>
          <w:numId w:val="2"/>
        </w:numPr>
        <w:spacing w:line="360" w:lineRule="auto"/>
        <w:ind w:firstLine="480" w:firstLineChars="200"/>
        <w:rPr>
          <w:rFonts w:hAnsi="宋体"/>
          <w:sz w:val="24"/>
        </w:rPr>
      </w:pPr>
      <w:r>
        <w:rPr>
          <w:rFonts w:hint="eastAsia" w:hAnsi="宋体"/>
          <w:sz w:val="24"/>
          <w:lang w:eastAsia="zh-CN"/>
        </w:rPr>
        <w:t>锚索内力值采用盒式测力计观测；</w:t>
      </w:r>
    </w:p>
    <w:p>
      <w:pPr>
        <w:numPr>
          <w:ilvl w:val="0"/>
          <w:numId w:val="2"/>
        </w:numPr>
        <w:spacing w:line="360" w:lineRule="auto"/>
        <w:ind w:firstLine="480" w:firstLineChars="200"/>
        <w:rPr>
          <w:rFonts w:hAnsi="宋体"/>
          <w:sz w:val="24"/>
        </w:rPr>
      </w:pPr>
      <w:r>
        <w:rPr>
          <w:rFonts w:hint="eastAsia" w:hAnsi="宋体"/>
          <w:sz w:val="24"/>
        </w:rPr>
        <w:t>基坑周边地下水位采用水位观测井观测</w:t>
      </w:r>
      <w:r>
        <w:rPr>
          <w:rFonts w:hint="eastAsia" w:hAnsi="宋体"/>
          <w:sz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00" w:firstLineChars="0"/>
        <w:jc w:val="both"/>
        <w:textAlignment w:val="auto"/>
        <w:outlineLvl w:val="9"/>
        <w:rPr>
          <w:rFonts w:hint="eastAsia"/>
          <w:sz w:val="24"/>
        </w:rPr>
      </w:pPr>
      <w:r>
        <w:rPr>
          <w:rFonts w:hAnsi="宋体"/>
          <w:sz w:val="24"/>
        </w:rPr>
        <w:t>监测点布置</w:t>
      </w:r>
    </w:p>
    <w:p>
      <w:pPr>
        <w:spacing w:line="360" w:lineRule="auto"/>
        <w:ind w:firstLine="480" w:firstLineChars="200"/>
        <w:rPr>
          <w:rFonts w:hint="eastAsia"/>
          <w:sz w:val="24"/>
        </w:rPr>
      </w:pPr>
      <w:r>
        <w:rPr>
          <w:rFonts w:hint="eastAsia" w:hAnsi="宋体"/>
          <w:sz w:val="24"/>
          <w:lang w:eastAsia="zh-CN"/>
        </w:rPr>
        <w:t>桩顶水平位移及竖向位移监测点布置间距约</w:t>
      </w:r>
      <w:r>
        <w:rPr>
          <w:rFonts w:hint="eastAsia" w:hAnsi="宋体"/>
          <w:sz w:val="24"/>
          <w:lang w:val="en-US" w:eastAsia="zh-CN"/>
        </w:rPr>
        <w:t>15m，共用一个测点；</w:t>
      </w:r>
      <w:r>
        <w:rPr>
          <w:rFonts w:hint="eastAsia" w:hAnsi="宋体"/>
          <w:sz w:val="24"/>
        </w:rPr>
        <w:t>基坑周</w:t>
      </w:r>
      <w:r>
        <w:rPr>
          <w:rFonts w:hint="eastAsia" w:hAnsi="宋体"/>
          <w:sz w:val="24"/>
          <w:lang w:eastAsia="zh-CN"/>
        </w:rPr>
        <w:t>边地表</w:t>
      </w:r>
      <w:r>
        <w:rPr>
          <w:rFonts w:hint="eastAsia" w:hAnsi="宋体"/>
          <w:sz w:val="24"/>
        </w:rPr>
        <w:t>沉降监测点</w:t>
      </w:r>
      <w:r>
        <w:rPr>
          <w:rFonts w:hint="eastAsia" w:hAnsi="宋体"/>
          <w:sz w:val="24"/>
          <w:lang w:eastAsia="zh-CN"/>
        </w:rPr>
        <w:t>布置间距约</w:t>
      </w:r>
      <w:r>
        <w:rPr>
          <w:rFonts w:hint="eastAsia" w:hAnsi="宋体"/>
          <w:sz w:val="24"/>
          <w:lang w:val="en-US" w:eastAsia="zh-CN"/>
        </w:rPr>
        <w:t>15m；基坑周边道路沉降监测点布置间距约15m；基坑周边管线沉降监测点布置间距约15m，由</w:t>
      </w:r>
      <w:r>
        <w:rPr>
          <w:rFonts w:hint="eastAsia"/>
          <w:szCs w:val="21"/>
        </w:rPr>
        <w:t>监测单位根据管线实际情况布置</w:t>
      </w:r>
      <w:r>
        <w:rPr>
          <w:rFonts w:hint="eastAsia" w:hAnsi="宋体"/>
          <w:sz w:val="24"/>
        </w:rPr>
        <w:t>。</w:t>
      </w:r>
      <w:r>
        <w:rPr>
          <w:rFonts w:hint="eastAsia" w:hAnsi="宋体"/>
          <w:sz w:val="24"/>
          <w:lang w:eastAsia="zh-CN"/>
        </w:rPr>
        <w:t>其他项目详见</w:t>
      </w:r>
      <w:r>
        <w:rPr>
          <w:rFonts w:hint="eastAsia" w:hAnsi="宋体"/>
          <w:sz w:val="24"/>
        </w:rPr>
        <w:t>监测平面布置图。</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400" w:firstLineChars="0"/>
        <w:jc w:val="both"/>
        <w:textAlignment w:val="auto"/>
        <w:outlineLvl w:val="9"/>
        <w:rPr>
          <w:rFonts w:hint="eastAsia"/>
          <w:sz w:val="24"/>
        </w:rPr>
      </w:pPr>
      <w:r>
        <w:rPr>
          <w:rFonts w:hAnsi="宋体"/>
          <w:sz w:val="24"/>
        </w:rPr>
        <w:t>监测频率</w:t>
      </w:r>
    </w:p>
    <w:p>
      <w:pPr>
        <w:spacing w:line="360" w:lineRule="auto"/>
        <w:ind w:firstLine="480" w:firstLineChars="200"/>
        <w:rPr>
          <w:rFonts w:hint="eastAsia"/>
          <w:sz w:val="24"/>
        </w:rPr>
      </w:pPr>
      <w:r>
        <w:rPr>
          <w:rFonts w:hint="eastAsia" w:hAnsi="宋体"/>
          <w:sz w:val="24"/>
        </w:rPr>
        <w:t>监测周期应从基坑围护结构施工开始，直至基坑回填至地面标高为止。变形观测点应在布点</w:t>
      </w:r>
      <w:r>
        <w:rPr>
          <w:rFonts w:hint="eastAsia" w:hAnsi="宋体"/>
          <w:sz w:val="24"/>
          <w:lang w:eastAsia="zh-CN"/>
        </w:rPr>
        <w:t>时</w:t>
      </w:r>
      <w:r>
        <w:rPr>
          <w:rFonts w:hint="eastAsia" w:hAnsi="宋体"/>
          <w:sz w:val="24"/>
        </w:rPr>
        <w:t>读取初始值，变形观测应在基坑开挖当日起实施。监测频率：基坑开挖期间</w:t>
      </w:r>
      <w:r>
        <w:rPr>
          <w:rFonts w:hint="eastAsia"/>
          <w:sz w:val="24"/>
        </w:rPr>
        <w:t>1</w:t>
      </w:r>
      <w:r>
        <w:rPr>
          <w:rFonts w:hint="eastAsia" w:hAnsi="宋体"/>
          <w:sz w:val="24"/>
        </w:rPr>
        <w:t>～</w:t>
      </w:r>
      <w:r>
        <w:rPr>
          <w:rFonts w:hint="eastAsia"/>
          <w:sz w:val="24"/>
        </w:rPr>
        <w:t>2</w:t>
      </w:r>
      <w:r>
        <w:rPr>
          <w:rFonts w:hint="eastAsia" w:hAnsi="宋体"/>
          <w:sz w:val="24"/>
        </w:rPr>
        <w:t>天观测一次，</w:t>
      </w:r>
      <w:r>
        <w:rPr>
          <w:rFonts w:hAnsi="宋体"/>
          <w:sz w:val="24"/>
        </w:rPr>
        <w:t>基坑开挖完成一周后</w:t>
      </w:r>
      <w:r>
        <w:rPr>
          <w:sz w:val="24"/>
        </w:rPr>
        <w:t>3</w:t>
      </w:r>
      <w:r>
        <w:rPr>
          <w:rFonts w:hint="eastAsia" w:hAnsi="宋体"/>
          <w:sz w:val="24"/>
        </w:rPr>
        <w:t>～</w:t>
      </w:r>
      <w:r>
        <w:rPr>
          <w:sz w:val="24"/>
        </w:rPr>
        <w:t>5</w:t>
      </w:r>
      <w:r>
        <w:rPr>
          <w:rFonts w:hAnsi="宋体"/>
          <w:sz w:val="24"/>
        </w:rPr>
        <w:t>天一次</w:t>
      </w:r>
      <w:r>
        <w:rPr>
          <w:rFonts w:hint="eastAsia" w:hAnsi="宋体"/>
          <w:sz w:val="24"/>
        </w:rPr>
        <w:t>，</w:t>
      </w:r>
      <w:r>
        <w:rPr>
          <w:rFonts w:hAnsi="宋体"/>
          <w:sz w:val="24"/>
        </w:rPr>
        <w:t>完成一个月后</w:t>
      </w:r>
      <w:r>
        <w:rPr>
          <w:sz w:val="24"/>
        </w:rPr>
        <w:t>7</w:t>
      </w:r>
      <w:r>
        <w:rPr>
          <w:rFonts w:hint="eastAsia" w:hAnsi="宋体"/>
          <w:sz w:val="24"/>
        </w:rPr>
        <w:t>～</w:t>
      </w:r>
      <w:r>
        <w:rPr>
          <w:sz w:val="24"/>
        </w:rPr>
        <w:t>10</w:t>
      </w:r>
      <w:r>
        <w:rPr>
          <w:rFonts w:hAnsi="宋体"/>
          <w:sz w:val="24"/>
        </w:rPr>
        <w:t>天一次</w:t>
      </w:r>
      <w:r>
        <w:rPr>
          <w:rFonts w:hint="eastAsia" w:hAnsi="宋体"/>
          <w:sz w:val="24"/>
        </w:rPr>
        <w:t>。</w:t>
      </w:r>
      <w:r>
        <w:rPr>
          <w:rFonts w:hAnsi="宋体"/>
          <w:sz w:val="24"/>
        </w:rPr>
        <w:t>遇到</w:t>
      </w:r>
      <w:r>
        <w:rPr>
          <w:rFonts w:hint="eastAsia" w:hAnsi="宋体"/>
          <w:sz w:val="24"/>
        </w:rPr>
        <w:t>大暴雨或</w:t>
      </w:r>
      <w:r>
        <w:rPr>
          <w:rFonts w:hAnsi="宋体"/>
          <w:sz w:val="24"/>
        </w:rPr>
        <w:t>监测数据异常</w:t>
      </w:r>
      <w:r>
        <w:rPr>
          <w:rFonts w:hint="eastAsia" w:hAnsi="宋体"/>
          <w:sz w:val="24"/>
        </w:rPr>
        <w:t>或</w:t>
      </w:r>
      <w:r>
        <w:rPr>
          <w:rFonts w:hAnsi="宋体"/>
          <w:sz w:val="24"/>
        </w:rPr>
        <w:t>有加速趋势时应适当加密监测次数，并速报有关单位。</w:t>
      </w:r>
      <w:r>
        <w:rPr>
          <w:rFonts w:hint="eastAsia" w:hAnsi="宋体"/>
          <w:sz w:val="24"/>
        </w:rPr>
        <w:t>另外应安排专人对基坑周边</w:t>
      </w:r>
      <w:r>
        <w:rPr>
          <w:rFonts w:hint="eastAsia" w:hAnsi="宋体"/>
          <w:sz w:val="24"/>
          <w:lang w:eastAsia="zh-CN"/>
        </w:rPr>
        <w:t>采取</w:t>
      </w:r>
      <w:r>
        <w:rPr>
          <w:rFonts w:hint="eastAsia" w:hAnsi="宋体"/>
          <w:sz w:val="24"/>
        </w:rPr>
        <w:t>巡查</w:t>
      </w:r>
      <w:r>
        <w:rPr>
          <w:rFonts w:hint="eastAsia" w:hAnsi="宋体"/>
          <w:sz w:val="24"/>
          <w:lang w:eastAsia="zh-CN"/>
        </w:rPr>
        <w:t>、</w:t>
      </w:r>
      <w:r>
        <w:rPr>
          <w:rFonts w:hint="eastAsia" w:hAnsi="宋体"/>
          <w:sz w:val="24"/>
        </w:rPr>
        <w:t>目测等辅助形式对基坑变形进行全面掌握和监控。</w:t>
      </w:r>
    </w:p>
    <w:p>
      <w:pPr>
        <w:numPr>
          <w:ilvl w:val="0"/>
          <w:numId w:val="1"/>
        </w:numPr>
        <w:spacing w:line="360" w:lineRule="auto"/>
        <w:ind w:left="0" w:leftChars="0" w:firstLine="400" w:firstLineChars="0"/>
        <w:rPr>
          <w:rFonts w:hint="eastAsia"/>
          <w:sz w:val="24"/>
        </w:rPr>
      </w:pPr>
      <w:r>
        <w:rPr>
          <w:rFonts w:hint="eastAsia" w:hAnsi="宋体"/>
          <w:sz w:val="24"/>
        </w:rPr>
        <w:t>变形观测的技术要求应符合《工程测量规范》有关变形测量的规定，观测精度不低于</w:t>
      </w:r>
      <w:r>
        <w:rPr>
          <w:rFonts w:hint="eastAsia" w:hAnsi="宋体"/>
          <w:sz w:val="24"/>
          <w:lang w:eastAsia="zh-CN"/>
        </w:rPr>
        <w:t>二</w:t>
      </w:r>
      <w:r>
        <w:rPr>
          <w:rFonts w:hint="eastAsia" w:hAnsi="宋体"/>
          <w:sz w:val="24"/>
        </w:rPr>
        <w:t>等精度，即水平位移观测变形点的点位中误差为</w:t>
      </w:r>
      <w:r>
        <w:rPr>
          <w:rFonts w:hint="eastAsia"/>
          <w:sz w:val="24"/>
        </w:rPr>
        <w:t>3.0mm</w:t>
      </w:r>
      <w:r>
        <w:rPr>
          <w:rFonts w:hint="eastAsia" w:hAnsi="宋体"/>
          <w:sz w:val="24"/>
        </w:rPr>
        <w:t>，沉降观测点高程中误差为</w:t>
      </w:r>
      <w:r>
        <w:rPr>
          <w:rFonts w:hint="eastAsia"/>
          <w:sz w:val="24"/>
        </w:rPr>
        <w:t>0.5mm</w:t>
      </w:r>
      <w:r>
        <w:rPr>
          <w:rFonts w:hint="eastAsia" w:hAnsi="宋体"/>
          <w:sz w:val="24"/>
        </w:rPr>
        <w:t>，相邻高差中误差为</w:t>
      </w:r>
      <w:r>
        <w:rPr>
          <w:rFonts w:hint="eastAsia"/>
          <w:sz w:val="24"/>
        </w:rPr>
        <w:t>0.3mm</w:t>
      </w:r>
      <w:r>
        <w:rPr>
          <w:rFonts w:hint="eastAsia" w:hAnsi="宋体"/>
          <w:sz w:val="24"/>
        </w:rPr>
        <w:t>。</w:t>
      </w:r>
    </w:p>
    <w:p>
      <w:pPr>
        <w:numPr>
          <w:ilvl w:val="0"/>
          <w:numId w:val="1"/>
        </w:numPr>
        <w:spacing w:line="360" w:lineRule="auto"/>
        <w:ind w:left="0" w:leftChars="0" w:firstLine="400" w:firstLineChars="0"/>
        <w:rPr>
          <w:rFonts w:hint="eastAsia"/>
          <w:sz w:val="24"/>
        </w:rPr>
      </w:pPr>
      <w:r>
        <w:rPr>
          <w:rFonts w:hint="eastAsia" w:hAnsi="宋体"/>
          <w:sz w:val="24"/>
        </w:rPr>
        <w:t>变形观测资料应包括：观测基准点和变形观测点的位置、编号、观测日期、本次观测值和累计观测值；观测资料应编制成表或绘制成曲线，变形观测结束后应将上述资料汇总并附必要的文字总结。</w:t>
      </w:r>
    </w:p>
    <w:p>
      <w:pPr>
        <w:numPr>
          <w:ilvl w:val="0"/>
          <w:numId w:val="1"/>
        </w:numPr>
        <w:spacing w:line="360" w:lineRule="auto"/>
        <w:ind w:left="0" w:leftChars="0" w:firstLine="400" w:firstLineChars="0"/>
        <w:rPr>
          <w:rFonts w:hint="eastAsia" w:hAnsi="宋体"/>
          <w:sz w:val="24"/>
        </w:rPr>
      </w:pPr>
      <w:r>
        <w:rPr>
          <w:rFonts w:hint="eastAsia" w:hAnsi="宋体"/>
          <w:sz w:val="24"/>
        </w:rPr>
        <w:t>控制指标</w:t>
      </w:r>
    </w:p>
    <w:p>
      <w:pPr>
        <w:spacing w:line="360" w:lineRule="auto"/>
        <w:ind w:firstLine="480" w:firstLineChars="200"/>
        <w:rPr>
          <w:rFonts w:hint="eastAsia" w:hAnsi="宋体"/>
          <w:color w:val="000000"/>
          <w:sz w:val="24"/>
        </w:rPr>
      </w:pPr>
    </w:p>
    <w:tbl>
      <w:tblPr>
        <w:tblStyle w:val="25"/>
        <w:tblW w:w="85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2327"/>
        <w:gridCol w:w="2115"/>
        <w:gridCol w:w="3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rPr>
              <w:t>序号</w:t>
            </w:r>
          </w:p>
        </w:tc>
        <w:tc>
          <w:tcPr>
            <w:tcW w:w="232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rPr>
              <w:t>项目</w:t>
            </w: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rPr>
              <w:t>报警值</w:t>
            </w:r>
          </w:p>
        </w:tc>
        <w:tc>
          <w:tcPr>
            <w:tcW w:w="335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rPr>
              <w:t>允许值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eastAsia="宋体"/>
                <w:color w:val="000000"/>
                <w:szCs w:val="21"/>
                <w:lang w:val="en-US" w:eastAsia="zh-CN"/>
              </w:rPr>
            </w:pPr>
            <w:r>
              <w:rPr>
                <w:rFonts w:hint="eastAsia"/>
                <w:color w:val="000000"/>
                <w:szCs w:val="21"/>
                <w:lang w:val="en-US" w:eastAsia="zh-CN"/>
              </w:rPr>
              <w:t>1</w:t>
            </w:r>
          </w:p>
        </w:tc>
        <w:tc>
          <w:tcPr>
            <w:tcW w:w="232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eastAsia="宋体"/>
                <w:color w:val="000000"/>
                <w:szCs w:val="21"/>
                <w:lang w:eastAsia="zh-CN"/>
              </w:rPr>
            </w:pPr>
            <w:r>
              <w:rPr>
                <w:rFonts w:hint="eastAsia"/>
                <w:color w:val="000000"/>
                <w:szCs w:val="21"/>
                <w:lang w:eastAsia="zh-CN"/>
              </w:rPr>
              <w:t>桩（坡）顶水平位移</w:t>
            </w: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eastAsia="zh-CN"/>
              </w:rPr>
            </w:pPr>
            <w:r>
              <w:rPr>
                <w:rFonts w:hint="eastAsia"/>
                <w:color w:val="000000"/>
                <w:szCs w:val="21"/>
                <w:lang w:val="en-US" w:eastAsia="zh-CN"/>
              </w:rPr>
              <w:t>30</w:t>
            </w:r>
            <w:r>
              <w:rPr>
                <w:rFonts w:hint="eastAsia"/>
                <w:color w:val="000000"/>
                <w:szCs w:val="21"/>
              </w:rPr>
              <w:t>mm</w:t>
            </w:r>
          </w:p>
        </w:tc>
        <w:tc>
          <w:tcPr>
            <w:tcW w:w="335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lang w:val="en-US" w:eastAsia="zh-CN"/>
              </w:rPr>
              <w:t>40</w:t>
            </w:r>
            <w:r>
              <w:rPr>
                <w:rFonts w:hint="eastAsia"/>
                <w:color w:val="000000"/>
                <w:szCs w:val="2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eastAsia="宋体"/>
                <w:color w:val="000000"/>
                <w:szCs w:val="21"/>
                <w:lang w:val="en-US" w:eastAsia="zh-CN"/>
              </w:rPr>
            </w:pPr>
            <w:r>
              <w:rPr>
                <w:rFonts w:hint="eastAsia"/>
                <w:color w:val="000000"/>
                <w:szCs w:val="21"/>
                <w:lang w:val="en-US" w:eastAsia="zh-CN"/>
              </w:rPr>
              <w:t>2</w:t>
            </w:r>
          </w:p>
        </w:tc>
        <w:tc>
          <w:tcPr>
            <w:tcW w:w="232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eastAsia="zh-CN"/>
              </w:rPr>
            </w:pPr>
            <w:r>
              <w:rPr>
                <w:rFonts w:hint="eastAsia"/>
                <w:color w:val="000000"/>
                <w:szCs w:val="21"/>
              </w:rPr>
              <w:t>桩</w:t>
            </w:r>
            <w:r>
              <w:rPr>
                <w:rFonts w:hint="eastAsia"/>
                <w:color w:val="000000"/>
                <w:szCs w:val="21"/>
                <w:lang w:eastAsia="zh-CN"/>
              </w:rPr>
              <w:t>（坡）</w:t>
            </w:r>
            <w:r>
              <w:rPr>
                <w:rFonts w:hint="eastAsia"/>
                <w:color w:val="000000"/>
                <w:szCs w:val="21"/>
              </w:rPr>
              <w:t>顶</w:t>
            </w:r>
            <w:r>
              <w:rPr>
                <w:rFonts w:hint="eastAsia"/>
                <w:color w:val="000000"/>
                <w:szCs w:val="21"/>
                <w:lang w:eastAsia="zh-CN"/>
              </w:rPr>
              <w:t>竖向</w:t>
            </w:r>
            <w:r>
              <w:rPr>
                <w:rFonts w:hint="eastAsia"/>
                <w:color w:val="000000"/>
                <w:szCs w:val="21"/>
              </w:rPr>
              <w:t>位移</w:t>
            </w: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rPr>
              <w:t>2</w:t>
            </w:r>
            <w:r>
              <w:rPr>
                <w:rFonts w:hint="eastAsia"/>
                <w:color w:val="000000"/>
                <w:szCs w:val="21"/>
                <w:lang w:val="en-US" w:eastAsia="zh-CN"/>
              </w:rPr>
              <w:t>0</w:t>
            </w:r>
            <w:r>
              <w:rPr>
                <w:rFonts w:hint="eastAsia"/>
                <w:color w:val="000000"/>
                <w:szCs w:val="21"/>
              </w:rPr>
              <w:t>mm</w:t>
            </w:r>
          </w:p>
        </w:tc>
        <w:tc>
          <w:tcPr>
            <w:tcW w:w="335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lang w:val="en-US" w:eastAsia="zh-CN"/>
              </w:rPr>
              <w:t>25</w:t>
            </w:r>
            <w:r>
              <w:rPr>
                <w:rFonts w:hint="eastAsia"/>
                <w:color w:val="000000"/>
                <w:szCs w:val="2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eastAsia="宋体"/>
                <w:color w:val="000000"/>
                <w:szCs w:val="21"/>
                <w:lang w:val="en-US" w:eastAsia="zh-CN"/>
              </w:rPr>
            </w:pPr>
            <w:r>
              <w:rPr>
                <w:rFonts w:hint="eastAsia"/>
                <w:color w:val="000000"/>
                <w:szCs w:val="21"/>
                <w:lang w:val="en-US" w:eastAsia="zh-CN"/>
              </w:rPr>
              <w:t>3</w:t>
            </w:r>
          </w:p>
        </w:tc>
        <w:tc>
          <w:tcPr>
            <w:tcW w:w="232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lang w:eastAsia="zh-CN"/>
              </w:rPr>
              <w:t>深层水平位移</w:t>
            </w: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lang w:val="en-US" w:eastAsia="zh-CN"/>
              </w:rPr>
              <w:t>min（30mm，0.4%）</w:t>
            </w:r>
          </w:p>
        </w:tc>
        <w:tc>
          <w:tcPr>
            <w:tcW w:w="335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lang w:val="en-US" w:eastAsia="zh-CN"/>
              </w:rPr>
              <w:t>min（35mm，0.5%）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lang w:val="en-US" w:eastAsia="zh-CN"/>
              </w:rPr>
              <w:t>4</w:t>
            </w:r>
          </w:p>
        </w:tc>
        <w:tc>
          <w:tcPr>
            <w:tcW w:w="232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eastAsia="zh-CN"/>
              </w:rPr>
            </w:pPr>
            <w:r>
              <w:rPr>
                <w:rFonts w:hint="eastAsia"/>
                <w:color w:val="000000"/>
                <w:szCs w:val="21"/>
                <w:lang w:eastAsia="zh-CN"/>
              </w:rPr>
              <w:t>基坑周边地表沉降</w:t>
            </w: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lang w:val="en-US" w:eastAsia="zh-CN"/>
              </w:rPr>
              <w:t>30</w:t>
            </w:r>
            <w:r>
              <w:rPr>
                <w:rFonts w:hint="eastAsia"/>
                <w:color w:val="000000"/>
                <w:szCs w:val="21"/>
              </w:rPr>
              <w:t>mm</w:t>
            </w:r>
          </w:p>
        </w:tc>
        <w:tc>
          <w:tcPr>
            <w:tcW w:w="335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lang w:val="en-US" w:eastAsia="zh-CN"/>
              </w:rPr>
              <w:t>35</w:t>
            </w:r>
            <w:r>
              <w:rPr>
                <w:rFonts w:hint="eastAsia"/>
                <w:color w:val="000000"/>
                <w:szCs w:val="2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lang w:val="en-US" w:eastAsia="zh-CN"/>
              </w:rPr>
              <w:t>5</w:t>
            </w:r>
          </w:p>
        </w:tc>
        <w:tc>
          <w:tcPr>
            <w:tcW w:w="232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eastAsia="zh-CN"/>
              </w:rPr>
            </w:pPr>
            <w:r>
              <w:rPr>
                <w:rFonts w:hint="eastAsia"/>
                <w:color w:val="000000"/>
                <w:szCs w:val="21"/>
                <w:lang w:eastAsia="zh-CN"/>
              </w:rPr>
              <w:t>锚索应力</w:t>
            </w: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lang w:val="en-US" w:eastAsia="zh-CN"/>
              </w:rPr>
              <w:t>轴向拉力标准值</w:t>
            </w:r>
          </w:p>
        </w:tc>
        <w:tc>
          <w:tcPr>
            <w:tcW w:w="335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lang w:val="en-US" w:eastAsia="zh-CN"/>
              </w:rPr>
              <w:t>1.2倍标准值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lang w:val="en-US" w:eastAsia="zh-CN"/>
              </w:rPr>
              <w:t>6</w:t>
            </w:r>
          </w:p>
        </w:tc>
        <w:tc>
          <w:tcPr>
            <w:tcW w:w="232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color w:val="000000"/>
                <w:szCs w:val="21"/>
                <w:lang w:eastAsia="zh-CN"/>
              </w:rPr>
            </w:pPr>
            <w:r>
              <w:rPr>
                <w:rFonts w:hint="eastAsia"/>
                <w:color w:val="000000"/>
                <w:szCs w:val="21"/>
                <w:lang w:eastAsia="zh-CN"/>
              </w:rPr>
              <w:t>地下水位</w:t>
            </w: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rPr>
              <w:t>4</w:t>
            </w:r>
            <w:r>
              <w:rPr>
                <w:color w:val="000000"/>
                <w:szCs w:val="21"/>
              </w:rPr>
              <w:t>m（500mm/d）</w:t>
            </w:r>
          </w:p>
        </w:tc>
        <w:tc>
          <w:tcPr>
            <w:tcW w:w="335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rPr>
              <w:t>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lang w:val="en-US" w:eastAsia="zh-CN"/>
              </w:rPr>
              <w:t>7</w:t>
            </w:r>
          </w:p>
        </w:tc>
        <w:tc>
          <w:tcPr>
            <w:tcW w:w="232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eastAsia="zh-CN"/>
              </w:rPr>
            </w:pPr>
            <w:r>
              <w:rPr>
                <w:rFonts w:hint="eastAsia"/>
                <w:color w:val="000000"/>
                <w:szCs w:val="21"/>
                <w:lang w:eastAsia="zh-CN"/>
              </w:rPr>
              <w:t>周边管线沉降</w:t>
            </w: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lang w:val="en-US" w:eastAsia="zh-CN"/>
              </w:rPr>
              <w:t>15mm</w:t>
            </w:r>
          </w:p>
        </w:tc>
        <w:tc>
          <w:tcPr>
            <w:tcW w:w="335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rPr>
            </w:pPr>
            <w:r>
              <w:rPr>
                <w:rFonts w:hint="eastAsia"/>
                <w:color w:val="000000"/>
                <w:szCs w:val="21"/>
                <w:lang w:val="en-US" w:eastAsia="zh-CN"/>
              </w:rPr>
              <w:t>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lang w:val="en-US" w:eastAsia="zh-CN"/>
              </w:rPr>
              <w:t>8</w:t>
            </w:r>
          </w:p>
        </w:tc>
        <w:tc>
          <w:tcPr>
            <w:tcW w:w="232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eastAsia="zh-CN"/>
              </w:rPr>
            </w:pPr>
            <w:r>
              <w:rPr>
                <w:rFonts w:hint="eastAsia"/>
                <w:color w:val="000000"/>
                <w:szCs w:val="21"/>
                <w:lang w:eastAsia="zh-CN"/>
              </w:rPr>
              <w:t>周边建筑物沉降</w:t>
            </w: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lang w:val="en-US" w:eastAsia="zh-CN"/>
              </w:rPr>
              <w:t>0.8倍允许值</w:t>
            </w:r>
          </w:p>
        </w:tc>
        <w:tc>
          <w:tcPr>
            <w:tcW w:w="335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lang w:eastAsia="zh-CN"/>
              </w:rPr>
              <w:t>根据《建筑地基基础设计规范》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lang w:val="en-US" w:eastAsia="zh-CN"/>
              </w:rPr>
              <w:t>9</w:t>
            </w:r>
          </w:p>
        </w:tc>
        <w:tc>
          <w:tcPr>
            <w:tcW w:w="2327"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eastAsia="zh-CN"/>
              </w:rPr>
            </w:pPr>
            <w:r>
              <w:rPr>
                <w:rFonts w:hint="eastAsia"/>
                <w:color w:val="000000"/>
                <w:szCs w:val="21"/>
                <w:lang w:eastAsia="zh-CN"/>
              </w:rPr>
              <w:t>周边道路沉降</w:t>
            </w:r>
          </w:p>
        </w:tc>
        <w:tc>
          <w:tcPr>
            <w:tcW w:w="2115"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rPr>
              <w:t>20mm</w:t>
            </w:r>
          </w:p>
        </w:tc>
        <w:tc>
          <w:tcPr>
            <w:tcW w:w="3358"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color w:val="000000"/>
                <w:szCs w:val="21"/>
                <w:lang w:val="en-US" w:eastAsia="zh-CN"/>
              </w:rPr>
            </w:pPr>
            <w:r>
              <w:rPr>
                <w:rFonts w:hint="eastAsia"/>
                <w:color w:val="000000"/>
                <w:szCs w:val="21"/>
              </w:rPr>
              <w:t>25mm</w:t>
            </w:r>
          </w:p>
        </w:tc>
      </w:tr>
    </w:tbl>
    <w:p>
      <w:pPr>
        <w:numPr>
          <w:ilvl w:val="0"/>
          <w:numId w:val="1"/>
        </w:numPr>
        <w:spacing w:line="360" w:lineRule="auto"/>
        <w:ind w:left="0" w:leftChars="0" w:firstLine="400" w:firstLineChars="0"/>
        <w:rPr>
          <w:rFonts w:hint="eastAsia"/>
          <w:sz w:val="24"/>
        </w:rPr>
      </w:pPr>
      <w:r>
        <w:rPr>
          <w:rFonts w:hint="eastAsia" w:hAnsi="宋体"/>
          <w:sz w:val="24"/>
        </w:rPr>
        <w:t>当出现以下情况之一时，应及时与甲方、设计和监理联系：</w:t>
      </w:r>
      <w:r>
        <w:rPr>
          <w:rFonts w:hint="eastAsia" w:hAnsi="宋体"/>
          <w:sz w:val="24"/>
          <w:lang w:eastAsia="zh-CN"/>
        </w:rPr>
        <w:t>桩（</w:t>
      </w:r>
      <w:r>
        <w:rPr>
          <w:rFonts w:hint="eastAsia" w:hAnsi="宋体"/>
          <w:sz w:val="24"/>
        </w:rPr>
        <w:t>坡</w:t>
      </w:r>
      <w:r>
        <w:rPr>
          <w:rFonts w:hint="eastAsia" w:hAnsi="宋体"/>
          <w:sz w:val="24"/>
          <w:lang w:eastAsia="zh-CN"/>
        </w:rPr>
        <w:t>）</w:t>
      </w:r>
      <w:r>
        <w:rPr>
          <w:rFonts w:hint="eastAsia" w:hAnsi="宋体"/>
          <w:sz w:val="24"/>
        </w:rPr>
        <w:t>顶、</w:t>
      </w:r>
      <w:r>
        <w:rPr>
          <w:rFonts w:hint="eastAsia" w:hAnsi="宋体"/>
          <w:sz w:val="24"/>
          <w:lang w:eastAsia="zh-CN"/>
        </w:rPr>
        <w:t>地</w:t>
      </w:r>
      <w:r>
        <w:rPr>
          <w:rFonts w:hint="eastAsia" w:hAnsi="宋体"/>
          <w:sz w:val="24"/>
        </w:rPr>
        <w:t>面或周边构筑物等出现裂缝；坡顶位移较大且位移不稳定、不收敛、超过设计预警值和允许值等相应的规范要求；连续三天变形速率超过3mm/d。</w:t>
      </w:r>
    </w:p>
    <w:p/>
    <w:p>
      <w:pPr>
        <w:numPr>
          <w:ilvl w:val="0"/>
          <w:numId w:val="3"/>
        </w:numPr>
        <w:rPr>
          <w:rFonts w:hint="eastAsia"/>
          <w:b/>
          <w:bCs/>
          <w:lang w:eastAsia="zh-CN"/>
        </w:rPr>
      </w:pPr>
      <w:r>
        <w:rPr>
          <w:rFonts w:hint="eastAsia"/>
          <w:b/>
          <w:bCs/>
          <w:lang w:eastAsia="zh-CN"/>
        </w:rPr>
        <w:t>主体监测</w:t>
      </w:r>
    </w:p>
    <w:p>
      <w:pPr>
        <w:widowControl w:val="0"/>
        <w:numPr>
          <w:ilvl w:val="0"/>
          <w:numId w:val="0"/>
        </w:numPr>
        <w:jc w:val="both"/>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sz w:val="24"/>
          <w:szCs w:val="24"/>
        </w:rPr>
      </w:pPr>
      <w:r>
        <w:rPr>
          <w:rFonts w:hint="eastAsia"/>
          <w:sz w:val="24"/>
          <w:szCs w:val="24"/>
          <w:lang w:val="en-US" w:eastAsia="zh-CN"/>
        </w:rPr>
        <w:t xml:space="preserve">    1、 </w:t>
      </w:r>
      <w:r>
        <w:rPr>
          <w:rFonts w:hint="eastAsia"/>
          <w:sz w:val="24"/>
          <w:szCs w:val="24"/>
        </w:rPr>
        <w:t>要求全过程(施工过程和使用期间)变形观测，本栋共8个，在一层墙柱上设置。表示需进行施工期间(至竣工验收为止)的沉降变形观测。</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2、沉降观测操作应符合《建筑变形测量规范》JGJ8-2016。当最后100d的沉降速率小于0.01～0.04mm/d时可认为已进入下沉稳定阶段。仅进行施工期间观测时，竣工验收时提供观测结果予设计复核建筑物的沉降量及沉降差。</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jc w:val="both"/>
        <w:textAlignment w:val="auto"/>
        <w:outlineLvl w:val="9"/>
        <w:rPr>
          <w:rFonts w:hint="eastAsia"/>
          <w:sz w:val="24"/>
          <w:szCs w:val="24"/>
        </w:rPr>
      </w:pPr>
      <w:r>
        <w:rPr>
          <w:rFonts w:hint="eastAsia"/>
          <w:sz w:val="24"/>
          <w:szCs w:val="24"/>
        </w:rPr>
        <w:t>3、观测频率：地下室层数不少于两层的建筑物，应在地下室最底层以及地面一层设置沉降观测点，首次观测应在底板或底层竖向构件浇筑完毕时即开始；其它建筑物在地面一层施工完毕后开始。</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jc w:val="both"/>
        <w:textAlignment w:val="auto"/>
        <w:outlineLvl w:val="9"/>
        <w:rPr>
          <w:rFonts w:hint="eastAsia"/>
          <w:sz w:val="24"/>
          <w:szCs w:val="24"/>
        </w:rPr>
      </w:pPr>
      <w:r>
        <w:rPr>
          <w:rFonts w:hint="eastAsia"/>
          <w:sz w:val="24"/>
          <w:szCs w:val="24"/>
        </w:rPr>
        <w:t xml:space="preserve"> (1)主体施工期间，基础持力层(或桩端持力层)为基岩时每施工完    观测一次，其它持力层   观测一次；主体封顶后每1个月观测一次，砌体完成后每2个月观测一次至竣工验收，临竣工验收时应观测一次。</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jc w:val="both"/>
        <w:textAlignment w:val="auto"/>
        <w:outlineLvl w:val="9"/>
        <w:rPr>
          <w:rFonts w:hint="eastAsia"/>
          <w:sz w:val="24"/>
          <w:szCs w:val="24"/>
        </w:rPr>
      </w:pPr>
      <w:r>
        <w:rPr>
          <w:rFonts w:hint="eastAsia"/>
          <w:sz w:val="24"/>
          <w:szCs w:val="24"/>
        </w:rPr>
        <w:t xml:space="preserve"> (2)全过程观测时，竣工验收以后第一年内每隔3月观测一次、以后每隔6月一次，直到下沉稳定为止。</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jc w:val="both"/>
        <w:textAlignment w:val="auto"/>
        <w:outlineLvl w:val="9"/>
        <w:rPr>
          <w:rFonts w:hint="eastAsia"/>
          <w:sz w:val="24"/>
          <w:szCs w:val="24"/>
        </w:rPr>
      </w:pPr>
      <w:r>
        <w:rPr>
          <w:rFonts w:hint="eastAsia"/>
          <w:sz w:val="24"/>
          <w:szCs w:val="24"/>
        </w:rPr>
        <w:t xml:space="preserve"> (3)施工过程中若暂停工，在停工时及重新开工时应各观测一次。停工期间可每隔2～3个月观测一次。</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jc w:val="both"/>
        <w:textAlignment w:val="auto"/>
        <w:outlineLvl w:val="9"/>
        <w:rPr>
          <w:rFonts w:hint="eastAsia"/>
          <w:sz w:val="24"/>
          <w:szCs w:val="24"/>
        </w:rPr>
      </w:pPr>
      <w:r>
        <w:rPr>
          <w:rFonts w:hint="eastAsia"/>
          <w:sz w:val="24"/>
          <w:szCs w:val="24"/>
        </w:rPr>
        <w:t xml:space="preserve"> (4)若有基础附近地面荷载突然增减、基础四周大量积水、长时间连续降雨等情况，均应及时增加观测次数。突然发生异常情况时(包括主体封顶后某次观测结果显著增大时)，应及时通知监理、设计。</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4、观测点离地高度可取0.5m，做法可参照</w:t>
      </w:r>
      <w:r>
        <w:rPr>
          <w:rFonts w:hint="eastAsia"/>
          <w:sz w:val="24"/>
          <w:szCs w:val="24"/>
          <w:u w:val="single"/>
        </w:rPr>
        <w:t>图11.4之明装式</w:t>
      </w:r>
      <w:r>
        <w:rPr>
          <w:rFonts w:hint="eastAsia"/>
          <w:sz w:val="24"/>
          <w:szCs w:val="24"/>
        </w:rPr>
        <w:t>。采用明装式时，杆端露出建筑面不小于50mm；明装式观测点应采取有效的保护措施。</w:t>
      </w:r>
    </w:p>
    <w:p>
      <w:pPr>
        <w:widowControl w:val="0"/>
        <w:numPr>
          <w:ilvl w:val="0"/>
          <w:numId w:val="0"/>
        </w:numPr>
        <w:jc w:val="both"/>
        <w:rPr>
          <w:rFonts w:hint="eastAsia"/>
          <w:lang w:eastAsia="zh-CN"/>
        </w:rPr>
        <w:sectPr>
          <w:pgSz w:w="11906" w:h="16838"/>
          <w:pgMar w:top="1361" w:right="1361" w:bottom="1361" w:left="1361" w:header="851" w:footer="992" w:gutter="0"/>
          <w:cols w:space="720" w:num="1"/>
          <w:docGrid w:type="lines" w:linePitch="312" w:charSpace="0"/>
        </w:sectPr>
      </w:pPr>
      <w:r>
        <w:drawing>
          <wp:inline distT="0" distB="0" distL="0" distR="0">
            <wp:extent cx="5274310" cy="1805305"/>
            <wp:effectExtent l="19050" t="0" r="2540" b="0"/>
            <wp:docPr id="5" name="图片 4" descr="QQ截图201704121525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QQ截图20170412152556.png"/>
                    <pic:cNvPicPr>
                      <a:picLocks noChangeAspect="1"/>
                    </pic:cNvPicPr>
                  </pic:nvPicPr>
                  <pic:blipFill>
                    <a:blip r:embed="rId5" cstate="print"/>
                    <a:stretch>
                      <a:fillRect/>
                    </a:stretch>
                  </pic:blipFill>
                  <pic:spPr>
                    <a:xfrm>
                      <a:off x="0" y="0"/>
                      <a:ext cx="5274310" cy="1805305"/>
                    </a:xfrm>
                    <a:prstGeom prst="rect">
                      <a:avLst/>
                    </a:prstGeom>
                  </pic:spPr>
                </pic:pic>
              </a:graphicData>
            </a:graphic>
          </wp:inline>
        </w:drawing>
      </w:r>
    </w:p>
    <w:p>
      <w:pPr>
        <w:pStyle w:val="2"/>
        <w:jc w:val="center"/>
      </w:pPr>
      <w:bookmarkStart w:id="75" w:name="_Toc457481162"/>
      <w:r>
        <w:rPr>
          <w:rFonts w:hint="eastAsia"/>
        </w:rPr>
        <w:t>第四部分  投标文件格式</w:t>
      </w:r>
      <w:bookmarkEnd w:id="75"/>
    </w:p>
    <w:p>
      <w:pPr>
        <w:rPr>
          <w:rFonts w:ascii="宋体" w:hAnsi="宋体"/>
          <w:sz w:val="24"/>
          <w:szCs w:val="24"/>
        </w:rPr>
      </w:pPr>
    </w:p>
    <w:p>
      <w:pPr>
        <w:pStyle w:val="3"/>
        <w:rPr>
          <w:rFonts w:ascii="宋体" w:hAnsi="宋体" w:eastAsia="宋体" w:cs="宋体"/>
          <w:sz w:val="24"/>
          <w:szCs w:val="24"/>
        </w:rPr>
      </w:pPr>
      <w:bookmarkStart w:id="76" w:name="_Toc457481163"/>
      <w:r>
        <w:rPr>
          <w:rFonts w:hint="eastAsia" w:ascii="宋体" w:hAnsi="宋体" w:eastAsia="宋体" w:cs="宋体"/>
        </w:rPr>
        <w:t>一、投标书</w:t>
      </w:r>
      <w:bookmarkEnd w:id="76"/>
    </w:p>
    <w:p>
      <w:pPr>
        <w:spacing w:line="440" w:lineRule="exact"/>
        <w:jc w:val="center"/>
        <w:rPr>
          <w:rFonts w:ascii="宋体" w:hAnsi="宋体"/>
          <w:b/>
          <w:sz w:val="24"/>
          <w:szCs w:val="24"/>
        </w:rPr>
      </w:pPr>
      <w:r>
        <w:rPr>
          <w:rFonts w:hint="eastAsia" w:ascii="宋体" w:hAnsi="宋体"/>
          <w:b/>
          <w:sz w:val="24"/>
          <w:szCs w:val="24"/>
        </w:rPr>
        <w:t>投标书</w:t>
      </w:r>
    </w:p>
    <w:p>
      <w:pPr>
        <w:spacing w:line="480" w:lineRule="exact"/>
        <w:rPr>
          <w:rFonts w:ascii="宋体" w:hAnsi="宋体"/>
          <w:sz w:val="24"/>
          <w:szCs w:val="24"/>
        </w:rPr>
      </w:pPr>
      <w:r>
        <w:rPr>
          <w:rFonts w:hint="eastAsia" w:ascii="宋体" w:hAnsi="宋体"/>
          <w:sz w:val="24"/>
          <w:szCs w:val="24"/>
        </w:rPr>
        <w:t>致：</w:t>
      </w:r>
      <w:r>
        <w:rPr>
          <w:rFonts w:hint="eastAsia" w:ascii="宋体" w:hAnsi="宋体"/>
          <w:sz w:val="24"/>
          <w:szCs w:val="24"/>
          <w:u w:val="single"/>
        </w:rPr>
        <w:t xml:space="preserve">  （招标人名称）    </w:t>
      </w:r>
    </w:p>
    <w:p>
      <w:pPr>
        <w:spacing w:line="480" w:lineRule="exact"/>
        <w:rPr>
          <w:rFonts w:ascii="宋体" w:hAnsi="宋体"/>
          <w:sz w:val="24"/>
          <w:szCs w:val="24"/>
        </w:rPr>
      </w:pPr>
      <w:r>
        <w:rPr>
          <w:rFonts w:hint="eastAsia" w:ascii="宋体" w:hAnsi="宋体"/>
          <w:sz w:val="24"/>
          <w:szCs w:val="24"/>
        </w:rPr>
        <w:t xml:space="preserve">    根据已收到贵方的招标编号为的 </w:t>
      </w:r>
      <w:r>
        <w:rPr>
          <w:rFonts w:hint="eastAsia" w:ascii="宋体" w:hAnsi="宋体"/>
          <w:sz w:val="24"/>
          <w:szCs w:val="24"/>
          <w:u w:val="single"/>
        </w:rPr>
        <w:t xml:space="preserve">  （项目名称）     </w:t>
      </w:r>
      <w:r>
        <w:rPr>
          <w:rFonts w:hint="eastAsia" w:ascii="宋体" w:hAnsi="宋体"/>
          <w:sz w:val="24"/>
          <w:szCs w:val="24"/>
        </w:rPr>
        <w:t>项目的招标文件，签字代表</w:t>
      </w:r>
      <w:r>
        <w:rPr>
          <w:rFonts w:hint="eastAsia" w:ascii="宋体" w:hAnsi="宋体"/>
          <w:sz w:val="24"/>
          <w:szCs w:val="24"/>
          <w:u w:val="single"/>
        </w:rPr>
        <w:t>（姓名、职务）</w:t>
      </w:r>
      <w:r>
        <w:rPr>
          <w:rFonts w:hint="eastAsia" w:ascii="宋体" w:hAnsi="宋体"/>
          <w:sz w:val="24"/>
          <w:szCs w:val="24"/>
        </w:rPr>
        <w:t>经正式授权并代表投标人</w:t>
      </w:r>
      <w:r>
        <w:rPr>
          <w:rFonts w:hint="eastAsia" w:ascii="宋体" w:hAnsi="宋体"/>
          <w:sz w:val="24"/>
          <w:szCs w:val="24"/>
          <w:u w:val="single"/>
        </w:rPr>
        <w:t>（投标人名称、地址）</w:t>
      </w:r>
      <w:r>
        <w:rPr>
          <w:rFonts w:hint="eastAsia" w:ascii="宋体" w:hAnsi="宋体"/>
          <w:sz w:val="24"/>
          <w:szCs w:val="24"/>
        </w:rPr>
        <w:t xml:space="preserve">提交下述文件正本一份、副本两份。  </w:t>
      </w:r>
    </w:p>
    <w:p>
      <w:pPr>
        <w:spacing w:line="480" w:lineRule="exact"/>
        <w:rPr>
          <w:rFonts w:ascii="宋体" w:hAnsi="宋体"/>
          <w:sz w:val="24"/>
          <w:szCs w:val="24"/>
        </w:rPr>
      </w:pPr>
      <w:r>
        <w:rPr>
          <w:rFonts w:hint="eastAsia" w:ascii="宋体" w:hAnsi="宋体"/>
          <w:sz w:val="24"/>
          <w:szCs w:val="24"/>
        </w:rPr>
        <w:t>1. 投标书</w:t>
      </w:r>
    </w:p>
    <w:p>
      <w:pPr>
        <w:spacing w:line="480" w:lineRule="exact"/>
        <w:rPr>
          <w:rFonts w:ascii="宋体" w:hAnsi="宋体"/>
          <w:sz w:val="24"/>
          <w:szCs w:val="24"/>
        </w:rPr>
      </w:pPr>
      <w:r>
        <w:rPr>
          <w:rFonts w:hint="eastAsia" w:ascii="宋体" w:hAnsi="宋体"/>
          <w:sz w:val="24"/>
          <w:szCs w:val="24"/>
        </w:rPr>
        <w:t xml:space="preserve">2. 投标报价一览表 </w:t>
      </w:r>
    </w:p>
    <w:p>
      <w:pPr>
        <w:spacing w:line="480" w:lineRule="exact"/>
        <w:rPr>
          <w:rFonts w:ascii="宋体" w:hAnsi="宋体"/>
          <w:sz w:val="24"/>
          <w:szCs w:val="24"/>
        </w:rPr>
      </w:pPr>
      <w:r>
        <w:rPr>
          <w:rFonts w:hint="eastAsia" w:ascii="宋体" w:hAnsi="宋体"/>
          <w:sz w:val="24"/>
          <w:szCs w:val="24"/>
        </w:rPr>
        <w:t>3. 法定代表人资格证明书或法定代表人授权委托书</w:t>
      </w:r>
    </w:p>
    <w:p>
      <w:pPr>
        <w:spacing w:line="480" w:lineRule="exact"/>
        <w:rPr>
          <w:rFonts w:ascii="宋体" w:hAnsi="宋体"/>
          <w:sz w:val="24"/>
          <w:szCs w:val="24"/>
        </w:rPr>
      </w:pPr>
      <w:r>
        <w:rPr>
          <w:rFonts w:hint="eastAsia" w:ascii="宋体" w:hAnsi="宋体"/>
          <w:sz w:val="24"/>
          <w:szCs w:val="24"/>
        </w:rPr>
        <w:t>4. 资格证明文件</w:t>
      </w:r>
    </w:p>
    <w:p>
      <w:pPr>
        <w:spacing w:line="480" w:lineRule="exact"/>
        <w:rPr>
          <w:rFonts w:ascii="宋体" w:hAnsi="宋体"/>
          <w:sz w:val="24"/>
          <w:szCs w:val="24"/>
        </w:rPr>
      </w:pPr>
      <w:r>
        <w:rPr>
          <w:rFonts w:hint="eastAsia" w:ascii="宋体" w:hAnsi="宋体"/>
          <w:sz w:val="24"/>
          <w:szCs w:val="24"/>
        </w:rPr>
        <w:t xml:space="preserve">a.营业执照副本 </w:t>
      </w:r>
    </w:p>
    <w:p>
      <w:pPr>
        <w:spacing w:line="480" w:lineRule="exact"/>
        <w:rPr>
          <w:rFonts w:ascii="宋体" w:hAnsi="宋体"/>
          <w:sz w:val="24"/>
          <w:szCs w:val="24"/>
        </w:rPr>
      </w:pPr>
      <w:r>
        <w:rPr>
          <w:rFonts w:hint="eastAsia" w:ascii="宋体" w:hAnsi="宋体"/>
          <w:sz w:val="24"/>
          <w:szCs w:val="24"/>
        </w:rPr>
        <w:t>b.有效税务登记证书</w:t>
      </w:r>
    </w:p>
    <w:p>
      <w:pPr>
        <w:spacing w:line="480" w:lineRule="exact"/>
        <w:rPr>
          <w:rFonts w:ascii="宋体" w:hAnsi="宋体"/>
          <w:sz w:val="24"/>
          <w:szCs w:val="24"/>
        </w:rPr>
      </w:pPr>
      <w:r>
        <w:rPr>
          <w:rFonts w:hint="eastAsia" w:ascii="宋体" w:hAnsi="宋体"/>
          <w:sz w:val="24"/>
          <w:szCs w:val="24"/>
        </w:rPr>
        <w:t>c.资质证书</w:t>
      </w:r>
    </w:p>
    <w:p>
      <w:pPr>
        <w:numPr>
          <w:ilvl w:val="0"/>
          <w:numId w:val="4"/>
        </w:numPr>
        <w:spacing w:line="480" w:lineRule="exact"/>
        <w:rPr>
          <w:rFonts w:hint="eastAsia" w:ascii="宋体" w:hAnsi="宋体"/>
          <w:sz w:val="24"/>
          <w:szCs w:val="24"/>
        </w:rPr>
      </w:pPr>
      <w:bookmarkStart w:id="77" w:name="OLE_LINK1"/>
      <w:r>
        <w:rPr>
          <w:rFonts w:hint="eastAsia" w:ascii="宋体" w:hAnsi="宋体"/>
          <w:sz w:val="24"/>
          <w:szCs w:val="24"/>
          <w:lang w:eastAsia="zh-CN"/>
        </w:rPr>
        <w:t>第三方监测及主体沉降观测</w:t>
      </w:r>
      <w:bookmarkEnd w:id="77"/>
      <w:r>
        <w:rPr>
          <w:rFonts w:hint="eastAsia" w:ascii="宋体" w:hAnsi="宋体"/>
          <w:sz w:val="24"/>
          <w:szCs w:val="24"/>
        </w:rPr>
        <w:t xml:space="preserve">方案 </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1、对本项目难点和重点的理解和分析</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2、对本项目难点和重点的技术建议和措施</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3、</w:t>
      </w:r>
      <w:r>
        <w:rPr>
          <w:rFonts w:hint="eastAsia" w:ascii="宋体" w:hAnsi="宋体"/>
          <w:sz w:val="24"/>
          <w:szCs w:val="24"/>
          <w:lang w:eastAsia="zh-CN"/>
        </w:rPr>
        <w:t>基坑支护监测方案</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4、主体沉降观测方案</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5、施工控制点测量方案</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6、人员配备</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7、技术人员配备和素质</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8、设备仪器</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9、数据处理分析及成果运用</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10、工期保证措施</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12、后续服务</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13、应急处理</w:t>
      </w:r>
    </w:p>
    <w:p>
      <w:pPr>
        <w:numPr>
          <w:ilvl w:val="0"/>
          <w:numId w:val="0"/>
        </w:numPr>
        <w:spacing w:line="480" w:lineRule="exact"/>
        <w:rPr>
          <w:rFonts w:hint="eastAsia" w:ascii="宋体" w:hAnsi="宋体"/>
          <w:sz w:val="24"/>
          <w:szCs w:val="24"/>
          <w:lang w:eastAsia="zh-CN"/>
        </w:rPr>
      </w:pPr>
      <w:r>
        <w:rPr>
          <w:rFonts w:hint="eastAsia" w:ascii="宋体" w:hAnsi="宋体"/>
          <w:sz w:val="24"/>
          <w:szCs w:val="24"/>
          <w:lang w:val="en-US" w:eastAsia="zh-CN"/>
        </w:rPr>
        <w:t xml:space="preserve">   </w:t>
      </w:r>
      <w:r>
        <w:rPr>
          <w:rFonts w:hint="eastAsia" w:ascii="宋体" w:hAnsi="宋体"/>
          <w:sz w:val="24"/>
          <w:szCs w:val="24"/>
          <w:lang w:eastAsia="zh-CN"/>
        </w:rPr>
        <w:t xml:space="preserve">14、合理化建议  </w:t>
      </w:r>
    </w:p>
    <w:p>
      <w:pPr>
        <w:spacing w:line="480" w:lineRule="exact"/>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 xml:space="preserve"> </w:t>
      </w:r>
      <w:r>
        <w:rPr>
          <w:rFonts w:hint="eastAsia" w:ascii="宋体" w:hAnsi="宋体"/>
          <w:sz w:val="24"/>
          <w:szCs w:val="24"/>
          <w:lang w:eastAsia="zh-CN"/>
        </w:rPr>
        <w:t>第三方监测及主体沉降观测</w:t>
      </w:r>
      <w:r>
        <w:rPr>
          <w:rFonts w:hint="eastAsia" w:ascii="宋体" w:hAnsi="宋体"/>
          <w:sz w:val="24"/>
          <w:szCs w:val="24"/>
        </w:rPr>
        <w:t>业绩汇总表</w:t>
      </w:r>
    </w:p>
    <w:p>
      <w:pPr>
        <w:spacing w:line="480" w:lineRule="exact"/>
        <w:rPr>
          <w:rFonts w:ascii="宋体" w:hAnsi="宋体"/>
          <w:sz w:val="24"/>
          <w:szCs w:val="24"/>
        </w:rPr>
      </w:pPr>
      <w:r>
        <w:rPr>
          <w:rFonts w:hint="eastAsia" w:ascii="宋体" w:hAnsi="宋体"/>
          <w:sz w:val="24"/>
          <w:szCs w:val="24"/>
        </w:rPr>
        <w:t xml:space="preserve">7. 投标人认为需提供的其他有关文件   </w:t>
      </w:r>
    </w:p>
    <w:p>
      <w:pPr>
        <w:spacing w:line="480" w:lineRule="exact"/>
        <w:rPr>
          <w:rFonts w:ascii="宋体" w:hAnsi="宋体"/>
          <w:sz w:val="24"/>
          <w:szCs w:val="24"/>
        </w:rPr>
      </w:pPr>
      <w:r>
        <w:rPr>
          <w:rFonts w:hint="eastAsia" w:ascii="宋体" w:hAnsi="宋体"/>
          <w:sz w:val="24"/>
          <w:szCs w:val="24"/>
        </w:rPr>
        <w:t xml:space="preserve">在此，签字代表宣布同意如下：  </w:t>
      </w:r>
    </w:p>
    <w:p>
      <w:pPr>
        <w:pStyle w:val="40"/>
        <w:spacing w:line="480" w:lineRule="exact"/>
        <w:ind w:firstLine="0" w:firstLineChars="0"/>
        <w:rPr>
          <w:rFonts w:ascii="宋体" w:hAnsi="宋体"/>
          <w:sz w:val="24"/>
        </w:rPr>
      </w:pPr>
      <w:r>
        <w:rPr>
          <w:rFonts w:hint="eastAsia" w:ascii="宋体" w:hAnsi="宋体"/>
          <w:sz w:val="24"/>
        </w:rPr>
        <w:t>1. 所附投标价格表中，投标价格涵盖招标公告中所有</w:t>
      </w:r>
      <w:r>
        <w:rPr>
          <w:rFonts w:hint="eastAsia" w:ascii="宋体" w:hAnsi="宋体"/>
          <w:sz w:val="24"/>
          <w:lang w:eastAsia="zh-CN"/>
        </w:rPr>
        <w:t>第三方监测及主体沉降观测</w:t>
      </w:r>
      <w:r>
        <w:rPr>
          <w:rFonts w:hint="eastAsia" w:ascii="宋体" w:hAnsi="宋体"/>
          <w:sz w:val="24"/>
        </w:rPr>
        <w:t>工作，发包人未尽事项以及需要委托方确定、确认的事项、指标、参数等，作为本项目的潜在供方</w:t>
      </w:r>
      <w:r>
        <w:rPr>
          <w:rFonts w:hint="eastAsia" w:ascii="宋体" w:hAnsi="宋体"/>
          <w:sz w:val="24"/>
          <w:lang w:eastAsia="zh-CN"/>
        </w:rPr>
        <w:t>承包人</w:t>
      </w:r>
      <w:r>
        <w:rPr>
          <w:rFonts w:hint="eastAsia" w:ascii="宋体" w:hAnsi="宋体"/>
          <w:sz w:val="24"/>
        </w:rPr>
        <w:t>均有义务提醒、协助、帮助完成这些事项并确定这些指标、参数等（政府规划按设计条件、土地出让条件除外）。</w:t>
      </w:r>
    </w:p>
    <w:p>
      <w:pPr>
        <w:pStyle w:val="40"/>
        <w:spacing w:line="480" w:lineRule="exact"/>
        <w:ind w:firstLine="0" w:firstLineChars="0"/>
        <w:rPr>
          <w:rFonts w:ascii="宋体" w:hAnsi="宋体"/>
          <w:sz w:val="24"/>
        </w:rPr>
      </w:pPr>
      <w:r>
        <w:rPr>
          <w:rFonts w:hint="eastAsia" w:ascii="宋体" w:hAnsi="宋体"/>
          <w:sz w:val="24"/>
        </w:rPr>
        <w:t>本项目的潜在供方</w:t>
      </w:r>
      <w:r>
        <w:rPr>
          <w:rFonts w:hint="eastAsia" w:ascii="宋体" w:hAnsi="宋体"/>
          <w:sz w:val="24"/>
          <w:lang w:eastAsia="zh-CN"/>
        </w:rPr>
        <w:t>承包人</w:t>
      </w:r>
      <w:r>
        <w:rPr>
          <w:rFonts w:hint="eastAsia" w:ascii="宋体" w:hAnsi="宋体"/>
          <w:sz w:val="24"/>
        </w:rPr>
        <w:t>不得以发包人编制的</w:t>
      </w:r>
      <w:r>
        <w:rPr>
          <w:rFonts w:hint="eastAsia" w:ascii="宋体" w:hAnsi="宋体"/>
          <w:sz w:val="24"/>
          <w:lang w:eastAsia="zh-CN"/>
        </w:rPr>
        <w:t>本招标文件</w:t>
      </w:r>
      <w:r>
        <w:rPr>
          <w:rFonts w:hint="eastAsia" w:ascii="宋体" w:hAnsi="宋体"/>
          <w:sz w:val="24"/>
        </w:rPr>
        <w:t>的任何疏漏、不确定、不完善等向发包人提出任何经济索赔，中标后也不得提出任何工程增加的要求（除发包人要求）。</w:t>
      </w:r>
    </w:p>
    <w:p>
      <w:pPr>
        <w:spacing w:line="480" w:lineRule="exact"/>
        <w:rPr>
          <w:rFonts w:ascii="宋体" w:hAnsi="宋体"/>
          <w:sz w:val="24"/>
          <w:szCs w:val="24"/>
        </w:rPr>
      </w:pPr>
      <w:r>
        <w:rPr>
          <w:rFonts w:hint="eastAsia" w:ascii="宋体" w:hAnsi="宋体"/>
          <w:sz w:val="24"/>
          <w:szCs w:val="24"/>
        </w:rPr>
        <w:t xml:space="preserve">2. 投标人将按招标文件的规定履行合同责任和义务。  </w:t>
      </w:r>
    </w:p>
    <w:p>
      <w:pPr>
        <w:spacing w:line="480" w:lineRule="exact"/>
        <w:rPr>
          <w:rFonts w:ascii="宋体" w:hAnsi="宋体"/>
          <w:sz w:val="24"/>
          <w:szCs w:val="24"/>
        </w:rPr>
      </w:pPr>
      <w:r>
        <w:rPr>
          <w:rFonts w:hint="eastAsia" w:ascii="宋体" w:hAnsi="宋体"/>
          <w:sz w:val="24"/>
          <w:szCs w:val="24"/>
        </w:rPr>
        <w:t xml:space="preserve">3. 投标人已详细审查全部招标文件。我们完全理解并同意放弃对这方面有不明及误解的权力。 </w:t>
      </w:r>
    </w:p>
    <w:p>
      <w:pPr>
        <w:spacing w:line="480" w:lineRule="exact"/>
        <w:rPr>
          <w:rFonts w:ascii="宋体" w:hAnsi="宋体"/>
          <w:sz w:val="24"/>
          <w:szCs w:val="24"/>
        </w:rPr>
      </w:pPr>
      <w:r>
        <w:rPr>
          <w:rFonts w:hint="eastAsia" w:ascii="宋体" w:hAnsi="宋体"/>
          <w:sz w:val="24"/>
          <w:szCs w:val="24"/>
        </w:rPr>
        <w:t xml:space="preserve">4. 本投标有效期为自开标日起90个日历天。  </w:t>
      </w:r>
    </w:p>
    <w:p>
      <w:pPr>
        <w:spacing w:line="480" w:lineRule="exact"/>
        <w:rPr>
          <w:rFonts w:ascii="宋体" w:hAnsi="宋体"/>
          <w:sz w:val="24"/>
          <w:szCs w:val="24"/>
        </w:rPr>
      </w:pPr>
      <w:r>
        <w:rPr>
          <w:rFonts w:hint="eastAsia" w:ascii="宋体" w:hAnsi="宋体"/>
          <w:sz w:val="24"/>
          <w:szCs w:val="24"/>
        </w:rPr>
        <w:t>5. 如果在规定的开标时间后，投标人在投标有效期内撤回投标，必须以书面形式报告建设方，否则将上报深圳市工程建设主管部门进行处理。</w:t>
      </w:r>
    </w:p>
    <w:p>
      <w:pPr>
        <w:spacing w:line="480" w:lineRule="exact"/>
        <w:rPr>
          <w:rFonts w:ascii="宋体" w:hAnsi="宋体"/>
          <w:sz w:val="24"/>
          <w:szCs w:val="24"/>
        </w:rPr>
      </w:pPr>
      <w:r>
        <w:rPr>
          <w:rFonts w:hint="eastAsia" w:ascii="宋体" w:hAnsi="宋体"/>
          <w:sz w:val="24"/>
          <w:szCs w:val="24"/>
        </w:rPr>
        <w:t xml:space="preserve">6.我方声明，我方不是贵方的附属机构。  </w:t>
      </w:r>
    </w:p>
    <w:p>
      <w:pPr>
        <w:spacing w:line="480" w:lineRule="exact"/>
        <w:rPr>
          <w:rFonts w:ascii="宋体" w:hAnsi="宋体"/>
          <w:sz w:val="24"/>
          <w:szCs w:val="24"/>
        </w:rPr>
      </w:pPr>
      <w:r>
        <w:rPr>
          <w:rFonts w:hint="eastAsia" w:ascii="宋体" w:hAnsi="宋体"/>
          <w:sz w:val="24"/>
          <w:szCs w:val="24"/>
        </w:rPr>
        <w:t xml:space="preserve">7. 投标人同意提供按照贵方可能要求的与其投标有关的一切数据或资料，完全理解贵方不一定接受最低投标报价的投标或收到的任何投标。  </w:t>
      </w:r>
    </w:p>
    <w:p>
      <w:pPr>
        <w:spacing w:line="480" w:lineRule="exact"/>
        <w:rPr>
          <w:rFonts w:ascii="宋体" w:hAnsi="宋体"/>
          <w:sz w:val="24"/>
          <w:szCs w:val="24"/>
        </w:rPr>
      </w:pPr>
      <w:r>
        <w:rPr>
          <w:rFonts w:hint="eastAsia" w:ascii="宋体" w:hAnsi="宋体"/>
          <w:sz w:val="24"/>
          <w:szCs w:val="24"/>
        </w:rPr>
        <w:t>8. 若我方获得中标，我方保证按投标报价收取</w:t>
      </w:r>
      <w:r>
        <w:rPr>
          <w:rFonts w:hint="eastAsia" w:ascii="宋体" w:hAnsi="宋体"/>
          <w:sz w:val="24"/>
          <w:szCs w:val="24"/>
          <w:lang w:eastAsia="zh-CN"/>
        </w:rPr>
        <w:t>第三方监测及主体沉降观测</w:t>
      </w:r>
      <w:r>
        <w:rPr>
          <w:rFonts w:hint="eastAsia" w:ascii="宋体" w:hAnsi="宋体"/>
          <w:sz w:val="24"/>
          <w:szCs w:val="24"/>
        </w:rPr>
        <w:t>费。</w:t>
      </w:r>
    </w:p>
    <w:p>
      <w:pPr>
        <w:spacing w:line="480" w:lineRule="exact"/>
        <w:rPr>
          <w:rFonts w:ascii="宋体" w:hAnsi="宋体"/>
          <w:sz w:val="24"/>
          <w:szCs w:val="24"/>
        </w:rPr>
      </w:pPr>
      <w:r>
        <w:rPr>
          <w:rFonts w:hint="eastAsia" w:ascii="宋体" w:hAnsi="宋体"/>
          <w:sz w:val="24"/>
          <w:szCs w:val="24"/>
        </w:rPr>
        <w:t xml:space="preserve">9. 与本投标有关的一切正式往来信函请寄： </w:t>
      </w:r>
    </w:p>
    <w:p>
      <w:pPr>
        <w:spacing w:line="480" w:lineRule="exact"/>
        <w:rPr>
          <w:rFonts w:ascii="宋体" w:hAnsi="宋体"/>
          <w:sz w:val="24"/>
          <w:szCs w:val="24"/>
        </w:rPr>
      </w:pPr>
      <w:r>
        <w:rPr>
          <w:rFonts w:hint="eastAsia" w:ascii="宋体" w:hAnsi="宋体"/>
          <w:sz w:val="24"/>
          <w:szCs w:val="24"/>
        </w:rPr>
        <w:t>地址：             传真：</w:t>
      </w:r>
    </w:p>
    <w:p>
      <w:pPr>
        <w:spacing w:line="480" w:lineRule="exact"/>
        <w:rPr>
          <w:rFonts w:ascii="宋体" w:hAnsi="宋体"/>
          <w:sz w:val="24"/>
          <w:szCs w:val="24"/>
        </w:rPr>
      </w:pPr>
      <w:r>
        <w:rPr>
          <w:rFonts w:hint="eastAsia" w:ascii="宋体" w:hAnsi="宋体"/>
          <w:sz w:val="24"/>
          <w:szCs w:val="24"/>
        </w:rPr>
        <w:t>电话：             电子函件：</w:t>
      </w:r>
    </w:p>
    <w:p>
      <w:pPr>
        <w:spacing w:line="480" w:lineRule="exact"/>
        <w:rPr>
          <w:rFonts w:ascii="宋体" w:hAnsi="宋体"/>
          <w:sz w:val="24"/>
          <w:szCs w:val="24"/>
          <w:u w:val="single"/>
        </w:rPr>
      </w:pPr>
      <w:r>
        <w:rPr>
          <w:rFonts w:hint="eastAsia" w:ascii="宋体" w:hAnsi="宋体"/>
          <w:sz w:val="24"/>
          <w:szCs w:val="24"/>
        </w:rPr>
        <w:t>投标人代表签字：</w:t>
      </w:r>
    </w:p>
    <w:p>
      <w:pPr>
        <w:spacing w:line="480" w:lineRule="exact"/>
        <w:rPr>
          <w:rFonts w:ascii="宋体" w:hAnsi="宋体"/>
          <w:sz w:val="24"/>
          <w:szCs w:val="24"/>
          <w:u w:val="single"/>
        </w:rPr>
      </w:pPr>
      <w:r>
        <w:rPr>
          <w:rFonts w:hint="eastAsia" w:ascii="宋体" w:hAnsi="宋体"/>
          <w:sz w:val="24"/>
          <w:szCs w:val="24"/>
        </w:rPr>
        <w:t>投标人名称：</w:t>
      </w:r>
    </w:p>
    <w:p>
      <w:pPr>
        <w:spacing w:line="480" w:lineRule="exact"/>
        <w:rPr>
          <w:rFonts w:ascii="宋体" w:hAnsi="宋体"/>
          <w:sz w:val="24"/>
          <w:szCs w:val="24"/>
          <w:u w:val="single"/>
        </w:rPr>
      </w:pPr>
      <w:r>
        <w:rPr>
          <w:rFonts w:hint="eastAsia" w:ascii="宋体" w:hAnsi="宋体"/>
          <w:sz w:val="24"/>
          <w:szCs w:val="24"/>
        </w:rPr>
        <w:t>投标人公章：</w:t>
      </w:r>
    </w:p>
    <w:p>
      <w:pPr>
        <w:spacing w:line="480" w:lineRule="exact"/>
        <w:rPr>
          <w:rFonts w:ascii="宋体" w:hAnsi="宋体"/>
          <w:sz w:val="24"/>
          <w:szCs w:val="24"/>
          <w:u w:val="single"/>
        </w:rPr>
      </w:pPr>
      <w:r>
        <w:rPr>
          <w:rFonts w:hint="eastAsia" w:ascii="宋体" w:hAnsi="宋体"/>
          <w:sz w:val="24"/>
          <w:szCs w:val="24"/>
        </w:rPr>
        <w:t xml:space="preserve">日期： </w:t>
      </w:r>
    </w:p>
    <w:p>
      <w:pPr>
        <w:spacing w:line="440" w:lineRule="exact"/>
        <w:rPr>
          <w:rFonts w:ascii="宋体" w:hAnsi="宋体"/>
          <w:sz w:val="24"/>
          <w:szCs w:val="24"/>
        </w:rPr>
      </w:pPr>
    </w:p>
    <w:p>
      <w:pPr>
        <w:pStyle w:val="3"/>
        <w:rPr>
          <w:rFonts w:ascii="宋体" w:hAnsi="宋体" w:eastAsia="宋体" w:cs="宋体"/>
        </w:rPr>
      </w:pPr>
    </w:p>
    <w:p>
      <w:pPr>
        <w:pStyle w:val="3"/>
        <w:rPr>
          <w:rFonts w:ascii="宋体" w:hAnsi="宋体" w:eastAsia="宋体" w:cs="宋体"/>
        </w:rPr>
      </w:pPr>
    </w:p>
    <w:p>
      <w:pPr>
        <w:pStyle w:val="3"/>
        <w:rPr>
          <w:rFonts w:ascii="宋体" w:hAnsi="宋体" w:eastAsia="宋体" w:cs="宋体"/>
        </w:rPr>
      </w:pPr>
    </w:p>
    <w:p>
      <w:pPr>
        <w:pStyle w:val="3"/>
        <w:rPr>
          <w:rFonts w:ascii="宋体" w:hAnsi="宋体" w:eastAsia="宋体" w:cs="宋体"/>
        </w:rPr>
      </w:pPr>
    </w:p>
    <w:p>
      <w:pPr>
        <w:pStyle w:val="3"/>
        <w:rPr>
          <w:rFonts w:ascii="宋体" w:hAnsi="宋体" w:eastAsia="宋体" w:cs="宋体"/>
        </w:rPr>
      </w:pPr>
    </w:p>
    <w:p>
      <w:pPr>
        <w:rPr>
          <w:rFonts w:ascii="宋体" w:hAnsi="宋体" w:cs="宋体"/>
        </w:rPr>
      </w:pPr>
    </w:p>
    <w:p>
      <w:pPr>
        <w:rPr>
          <w:rFonts w:ascii="宋体" w:hAnsi="宋体" w:cs="宋体"/>
        </w:rPr>
      </w:pPr>
    </w:p>
    <w:p>
      <w:pPr>
        <w:pStyle w:val="4"/>
        <w:ind w:firstLine="400"/>
        <w:rPr>
          <w:rFonts w:ascii="宋体" w:hAnsi="宋体" w:cs="宋体"/>
        </w:rPr>
        <w:sectPr>
          <w:pgSz w:w="11906" w:h="16838"/>
          <w:pgMar w:top="1361" w:right="1361" w:bottom="1361" w:left="1361" w:header="851" w:footer="992" w:gutter="0"/>
          <w:cols w:space="720" w:num="1"/>
          <w:docGrid w:type="lines" w:linePitch="312" w:charSpace="0"/>
        </w:sectPr>
      </w:pPr>
    </w:p>
    <w:p>
      <w:pPr>
        <w:pStyle w:val="3"/>
        <w:rPr>
          <w:rFonts w:ascii="宋体" w:hAnsi="宋体" w:eastAsia="宋体" w:cs="宋体"/>
        </w:rPr>
      </w:pPr>
      <w:bookmarkStart w:id="78" w:name="_Toc457481164"/>
      <w:r>
        <w:rPr>
          <w:rFonts w:hint="eastAsia" w:ascii="宋体" w:hAnsi="宋体" w:eastAsia="宋体" w:cs="宋体"/>
        </w:rPr>
        <w:t>二、投标报价一览表</w:t>
      </w:r>
      <w:bookmarkEnd w:id="78"/>
    </w:p>
    <w:p>
      <w:pPr>
        <w:pStyle w:val="27"/>
        <w:rPr>
          <w:rFonts w:hint="default" w:ascii="宋体" w:eastAsia="宋体"/>
          <w:b/>
          <w:bCs/>
        </w:rPr>
      </w:pPr>
      <w:r>
        <w:rPr>
          <w:rFonts w:ascii="宋体" w:eastAsia="宋体"/>
          <w:b/>
          <w:bCs/>
        </w:rPr>
        <w:t>投标报价一览表</w:t>
      </w:r>
    </w:p>
    <w:tbl>
      <w:tblPr>
        <w:tblStyle w:val="25"/>
        <w:tblW w:w="1433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74"/>
        <w:gridCol w:w="3337"/>
        <w:gridCol w:w="5144"/>
        <w:gridCol w:w="297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7" w:hRule="atLeast"/>
        </w:trPr>
        <w:tc>
          <w:tcPr>
            <w:tcW w:w="2874"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600" w:lineRule="exact"/>
              <w:jc w:val="center"/>
              <w:rPr>
                <w:rFonts w:ascii="宋体" w:hAnsi="宋体" w:eastAsia="宋体"/>
                <w:sz w:val="24"/>
                <w:szCs w:val="24"/>
              </w:rPr>
            </w:pPr>
            <w:r>
              <w:rPr>
                <w:rFonts w:hint="eastAsia" w:ascii="宋体" w:hAnsi="宋体" w:eastAsia="宋体"/>
                <w:sz w:val="24"/>
                <w:szCs w:val="24"/>
              </w:rPr>
              <w:t>项目名称</w:t>
            </w:r>
          </w:p>
        </w:tc>
        <w:tc>
          <w:tcPr>
            <w:tcW w:w="3337" w:type="dxa"/>
            <w:tcBorders>
              <w:top w:val="single" w:color="auto" w:sz="4" w:space="0"/>
              <w:left w:val="single" w:color="auto" w:sz="4" w:space="0"/>
              <w:bottom w:val="single" w:color="auto" w:sz="4" w:space="0"/>
              <w:right w:val="single" w:color="auto" w:sz="4" w:space="0"/>
            </w:tcBorders>
          </w:tcPr>
          <w:p>
            <w:pPr>
              <w:pStyle w:val="28"/>
              <w:widowControl w:val="0"/>
              <w:overflowPunct w:val="0"/>
              <w:adjustRightInd w:val="0"/>
              <w:spacing w:line="600" w:lineRule="exact"/>
              <w:ind w:firstLine="0"/>
              <w:jc w:val="center"/>
              <w:rPr>
                <w:rFonts w:ascii="宋体" w:hAnsi="宋体" w:eastAsia="宋体"/>
                <w:sz w:val="24"/>
                <w:szCs w:val="24"/>
              </w:rPr>
            </w:pPr>
            <w:r>
              <w:rPr>
                <w:rFonts w:hint="eastAsia" w:ascii="宋体" w:hAnsi="宋体" w:eastAsia="宋体"/>
                <w:sz w:val="24"/>
                <w:szCs w:val="24"/>
              </w:rPr>
              <w:t>投标总价</w:t>
            </w:r>
          </w:p>
        </w:tc>
        <w:tc>
          <w:tcPr>
            <w:tcW w:w="5144" w:type="dxa"/>
            <w:tcBorders>
              <w:top w:val="single" w:color="auto" w:sz="4" w:space="0"/>
              <w:left w:val="single" w:color="auto" w:sz="4" w:space="0"/>
              <w:bottom w:val="single" w:color="auto" w:sz="4" w:space="0"/>
              <w:right w:val="single" w:color="auto" w:sz="4" w:space="0"/>
            </w:tcBorders>
            <w:vAlign w:val="center"/>
          </w:tcPr>
          <w:p>
            <w:pPr>
              <w:pStyle w:val="28"/>
              <w:widowControl w:val="0"/>
              <w:overflowPunct w:val="0"/>
              <w:adjustRightInd w:val="0"/>
              <w:spacing w:line="600" w:lineRule="exact"/>
              <w:ind w:firstLine="0"/>
              <w:jc w:val="center"/>
              <w:rPr>
                <w:rFonts w:ascii="宋体" w:hAnsi="宋体" w:eastAsia="宋体"/>
                <w:sz w:val="24"/>
                <w:szCs w:val="24"/>
              </w:rPr>
            </w:pPr>
            <w:r>
              <w:rPr>
                <w:rFonts w:hint="eastAsia" w:ascii="宋体" w:hAnsi="宋体" w:eastAsia="宋体"/>
                <w:sz w:val="24"/>
                <w:szCs w:val="24"/>
              </w:rPr>
              <w:t>报价说明</w:t>
            </w:r>
          </w:p>
        </w:tc>
        <w:tc>
          <w:tcPr>
            <w:tcW w:w="2977" w:type="dxa"/>
            <w:tcBorders>
              <w:top w:val="single" w:color="auto" w:sz="4" w:space="0"/>
              <w:left w:val="single" w:color="auto" w:sz="4" w:space="0"/>
              <w:bottom w:val="single" w:color="auto" w:sz="4" w:space="0"/>
              <w:right w:val="single" w:color="auto" w:sz="4" w:space="0"/>
            </w:tcBorders>
          </w:tcPr>
          <w:p>
            <w:pPr>
              <w:pStyle w:val="28"/>
              <w:widowControl w:val="0"/>
              <w:overflowPunct w:val="0"/>
              <w:adjustRightInd w:val="0"/>
              <w:spacing w:line="600" w:lineRule="exact"/>
              <w:ind w:firstLine="0"/>
              <w:jc w:val="center"/>
              <w:rPr>
                <w:rFonts w:ascii="宋体" w:hAnsi="宋体" w:eastAsia="宋体"/>
                <w:sz w:val="24"/>
                <w:szCs w:val="24"/>
              </w:rPr>
            </w:pPr>
            <w:r>
              <w:rPr>
                <w:rFonts w:hint="eastAsia" w:ascii="宋体" w:hAnsi="宋体" w:eastAsia="宋体"/>
                <w:sz w:val="24"/>
                <w:szCs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61" w:hRule="atLeast"/>
        </w:trPr>
        <w:tc>
          <w:tcPr>
            <w:tcW w:w="2874" w:type="dxa"/>
            <w:tcBorders>
              <w:top w:val="single" w:color="auto" w:sz="4" w:space="0"/>
              <w:left w:val="single" w:color="auto" w:sz="4" w:space="0"/>
              <w:bottom w:val="single" w:color="auto" w:sz="4" w:space="0"/>
              <w:right w:val="single" w:color="auto" w:sz="4" w:space="0"/>
            </w:tcBorders>
            <w:vAlign w:val="center"/>
          </w:tcPr>
          <w:p>
            <w:pPr>
              <w:spacing w:line="1000" w:lineRule="exact"/>
              <w:jc w:val="center"/>
              <w:rPr>
                <w:rFonts w:ascii="宋体" w:hAnsi="宋体"/>
                <w:kern w:val="0"/>
                <w:sz w:val="24"/>
                <w:szCs w:val="24"/>
              </w:rPr>
            </w:pPr>
            <w:bookmarkStart w:id="79" w:name="OLE_LINK2"/>
            <w:r>
              <w:rPr>
                <w:rFonts w:hint="eastAsia" w:ascii="宋体" w:hAnsi="宋体"/>
                <w:kern w:val="0"/>
                <w:sz w:val="24"/>
                <w:szCs w:val="24"/>
              </w:rPr>
              <w:t>深圳北邮科技大厦（</w:t>
            </w:r>
            <w:r>
              <w:rPr>
                <w:rFonts w:hint="eastAsia" w:ascii="宋体" w:hAnsi="宋体"/>
                <w:kern w:val="0"/>
                <w:sz w:val="24"/>
                <w:szCs w:val="24"/>
                <w:lang w:eastAsia="zh-CN"/>
              </w:rPr>
              <w:t>第三方监测及主体沉降观测</w:t>
            </w:r>
            <w:r>
              <w:rPr>
                <w:rFonts w:hint="eastAsia" w:ascii="宋体" w:hAnsi="宋体"/>
                <w:kern w:val="0"/>
                <w:sz w:val="24"/>
                <w:szCs w:val="24"/>
              </w:rPr>
              <w:t>）</w:t>
            </w:r>
            <w:bookmarkEnd w:id="79"/>
          </w:p>
        </w:tc>
        <w:tc>
          <w:tcPr>
            <w:tcW w:w="3337" w:type="dxa"/>
            <w:tcBorders>
              <w:top w:val="single" w:color="auto" w:sz="4" w:space="0"/>
              <w:left w:val="single" w:color="auto" w:sz="4" w:space="0"/>
              <w:bottom w:val="single" w:color="auto" w:sz="4" w:space="0"/>
              <w:right w:val="single" w:color="auto" w:sz="4" w:space="0"/>
            </w:tcBorders>
            <w:vAlign w:val="center"/>
          </w:tcPr>
          <w:p>
            <w:pPr>
              <w:spacing w:line="220" w:lineRule="atLeast"/>
              <w:jc w:val="center"/>
              <w:rPr>
                <w:rFonts w:ascii="宋体" w:hAnsi="宋体"/>
                <w:kern w:val="0"/>
                <w:sz w:val="24"/>
                <w:szCs w:val="24"/>
              </w:rPr>
            </w:pPr>
            <w:r>
              <w:rPr>
                <w:rFonts w:hint="eastAsia" w:ascii="宋体" w:hAnsi="宋体"/>
                <w:kern w:val="0"/>
                <w:sz w:val="24"/>
                <w:szCs w:val="24"/>
                <w:u w:val="single"/>
              </w:rPr>
              <w:t xml:space="preserve">    </w:t>
            </w:r>
            <w:r>
              <w:rPr>
                <w:rFonts w:hint="eastAsia" w:ascii="宋体" w:hAnsi="宋体"/>
                <w:kern w:val="0"/>
                <w:sz w:val="24"/>
                <w:szCs w:val="24"/>
              </w:rPr>
              <w:t>万元</w:t>
            </w:r>
          </w:p>
        </w:tc>
        <w:tc>
          <w:tcPr>
            <w:tcW w:w="5144" w:type="dxa"/>
            <w:tcBorders>
              <w:top w:val="single" w:color="auto" w:sz="4" w:space="0"/>
              <w:left w:val="single" w:color="auto" w:sz="4" w:space="0"/>
              <w:bottom w:val="single" w:color="auto" w:sz="4" w:space="0"/>
              <w:right w:val="single" w:color="auto" w:sz="4" w:space="0"/>
            </w:tcBorders>
            <w:vAlign w:val="center"/>
          </w:tcPr>
          <w:p>
            <w:pPr>
              <w:rPr>
                <w:rFonts w:hint="eastAsia" w:eastAsia="宋体"/>
                <w:lang w:eastAsia="zh-CN"/>
              </w:rPr>
            </w:pPr>
            <w:r>
              <w:rPr>
                <w:rFonts w:hint="eastAsia" w:ascii="宋体" w:hAnsi="宋体"/>
              </w:rPr>
              <w:t>本工程</w:t>
            </w:r>
            <w:r>
              <w:rPr>
                <w:rFonts w:hint="eastAsia" w:ascii="宋体" w:hAnsi="宋体"/>
                <w:kern w:val="0"/>
                <w:sz w:val="24"/>
                <w:szCs w:val="24"/>
                <w:lang w:eastAsia="zh-CN"/>
              </w:rPr>
              <w:t>第三方监测及主体沉降观测</w:t>
            </w:r>
            <w:r>
              <w:rPr>
                <w:rFonts w:hint="eastAsia" w:ascii="宋体" w:hAnsi="宋体"/>
              </w:rPr>
              <w:t>费为总价包干方式计算。</w:t>
            </w:r>
            <w:r>
              <w:rPr>
                <w:rFonts w:hint="eastAsia" w:ascii="宋体" w:hAnsi="宋体"/>
                <w:lang w:eastAsia="zh-CN"/>
              </w:rPr>
              <w:t>费用</w:t>
            </w:r>
            <w:r>
              <w:rPr>
                <w:rFonts w:hint="eastAsia" w:ascii="宋体" w:hAnsi="宋体"/>
              </w:rPr>
              <w:t>总价，已包含发包人在本合同项下应向</w:t>
            </w:r>
            <w:r>
              <w:rPr>
                <w:rFonts w:hint="eastAsia" w:ascii="宋体" w:hAnsi="宋体"/>
                <w:lang w:eastAsia="zh-CN"/>
              </w:rPr>
              <w:t>承包</w:t>
            </w:r>
            <w:r>
              <w:rPr>
                <w:rFonts w:hint="eastAsia" w:ascii="宋体" w:hAnsi="宋体"/>
              </w:rPr>
              <w:t>人支付的全部费用及</w:t>
            </w:r>
            <w:r>
              <w:rPr>
                <w:rFonts w:hint="eastAsia" w:ascii="宋体" w:hAnsi="宋体"/>
                <w:lang w:eastAsia="zh-CN"/>
              </w:rPr>
              <w:t>承包人</w:t>
            </w:r>
            <w:r>
              <w:rPr>
                <w:rFonts w:hint="eastAsia" w:ascii="宋体" w:hAnsi="宋体"/>
              </w:rPr>
              <w:t>人按国家规定须缴纳的各项税费。发包人无需向</w:t>
            </w:r>
            <w:r>
              <w:rPr>
                <w:rFonts w:hint="eastAsia" w:ascii="宋体" w:hAnsi="宋体"/>
                <w:lang w:eastAsia="zh-CN"/>
              </w:rPr>
              <w:t>承包</w:t>
            </w:r>
            <w:r>
              <w:rPr>
                <w:rFonts w:hint="eastAsia" w:ascii="宋体" w:hAnsi="宋体"/>
              </w:rPr>
              <w:t>人或第三方支付其它任何费用。</w:t>
            </w:r>
          </w:p>
        </w:tc>
        <w:tc>
          <w:tcPr>
            <w:tcW w:w="2977" w:type="dxa"/>
            <w:tcBorders>
              <w:top w:val="single" w:color="auto" w:sz="4" w:space="0"/>
              <w:left w:val="single" w:color="auto" w:sz="4" w:space="0"/>
              <w:bottom w:val="single" w:color="auto" w:sz="4" w:space="0"/>
              <w:right w:val="single" w:color="auto" w:sz="4" w:space="0"/>
            </w:tcBorders>
          </w:tcPr>
          <w:p>
            <w:pPr>
              <w:pStyle w:val="28"/>
              <w:widowControl w:val="0"/>
              <w:overflowPunct w:val="0"/>
              <w:adjustRightInd w:val="0"/>
              <w:spacing w:line="600" w:lineRule="exact"/>
              <w:ind w:firstLine="0"/>
              <w:jc w:val="both"/>
              <w:rPr>
                <w:rFonts w:hint="eastAsia" w:ascii="宋体" w:hAnsi="宋体" w:eastAsia="宋体"/>
                <w:sz w:val="24"/>
                <w:szCs w:val="24"/>
                <w:lang w:val="en-US" w:eastAsia="zh-CN"/>
              </w:rPr>
            </w:pPr>
            <w:r>
              <w:rPr>
                <w:rFonts w:hint="eastAsia" w:ascii="宋体" w:hAnsi="宋体" w:eastAsia="宋体"/>
                <w:sz w:val="24"/>
                <w:szCs w:val="24"/>
                <w:lang w:val="en-US" w:eastAsia="zh-CN"/>
              </w:rPr>
              <w:t>总价包干。</w:t>
            </w:r>
          </w:p>
        </w:tc>
      </w:tr>
    </w:tbl>
    <w:p>
      <w:pPr>
        <w:pStyle w:val="28"/>
        <w:widowControl w:val="0"/>
        <w:overflowPunct w:val="0"/>
        <w:adjustRightInd w:val="0"/>
        <w:spacing w:line="600" w:lineRule="exact"/>
        <w:ind w:firstLine="0"/>
        <w:rPr>
          <w:rFonts w:ascii="宋体" w:hAnsi="宋体" w:eastAsia="宋体"/>
          <w:sz w:val="24"/>
          <w:szCs w:val="24"/>
        </w:rPr>
      </w:pPr>
      <w:r>
        <w:rPr>
          <w:rFonts w:hint="eastAsia" w:ascii="宋体" w:hAnsi="宋体" w:eastAsia="宋体"/>
          <w:sz w:val="24"/>
          <w:szCs w:val="24"/>
        </w:rPr>
        <w:t xml:space="preserve">投标人(盖章)：  </w:t>
      </w:r>
    </w:p>
    <w:p>
      <w:pPr>
        <w:pStyle w:val="28"/>
        <w:widowControl w:val="0"/>
        <w:overflowPunct w:val="0"/>
        <w:spacing w:line="600" w:lineRule="exact"/>
        <w:ind w:firstLine="0"/>
        <w:rPr>
          <w:rFonts w:ascii="宋体" w:hAnsi="宋体" w:eastAsia="宋体"/>
          <w:sz w:val="24"/>
          <w:szCs w:val="24"/>
        </w:rPr>
      </w:pPr>
      <w:r>
        <w:rPr>
          <w:rFonts w:hint="eastAsia" w:ascii="宋体" w:hAnsi="宋体" w:eastAsia="宋体"/>
          <w:sz w:val="24"/>
          <w:szCs w:val="24"/>
        </w:rPr>
        <w:t>法定代表人或授权委托人（签字或盖章）：</w:t>
      </w:r>
    </w:p>
    <w:p>
      <w:pPr>
        <w:pStyle w:val="8"/>
      </w:pPr>
    </w:p>
    <w:p>
      <w:pPr>
        <w:rPr>
          <w:rFonts w:ascii="宋体" w:hAnsi="宋体"/>
          <w:kern w:val="0"/>
          <w:sz w:val="24"/>
          <w:szCs w:val="24"/>
        </w:rPr>
        <w:sectPr>
          <w:pgSz w:w="16838" w:h="11906" w:orient="landscape"/>
          <w:pgMar w:top="1361" w:right="1361" w:bottom="1361" w:left="1361" w:header="851" w:footer="992" w:gutter="0"/>
          <w:cols w:space="720" w:num="1"/>
          <w:docGrid w:type="lines" w:linePitch="312" w:charSpace="0"/>
        </w:sectPr>
      </w:pPr>
      <w:r>
        <w:rPr>
          <w:rFonts w:hint="eastAsia" w:ascii="宋体" w:hAnsi="宋体"/>
          <w:kern w:val="0"/>
          <w:sz w:val="24"/>
          <w:szCs w:val="24"/>
        </w:rPr>
        <w:t>日     期：</w:t>
      </w:r>
    </w:p>
    <w:p>
      <w:pPr>
        <w:spacing w:line="440" w:lineRule="exact"/>
        <w:outlineLvl w:val="2"/>
        <w:rPr>
          <w:b/>
          <w:sz w:val="24"/>
          <w:szCs w:val="24"/>
        </w:rPr>
      </w:pPr>
      <w:bookmarkStart w:id="80" w:name="_Toc457481165"/>
      <w:r>
        <w:rPr>
          <w:rStyle w:val="39"/>
          <w:rFonts w:hint="eastAsia" w:ascii="宋体" w:hAnsi="宋体" w:eastAsia="宋体" w:cs="宋体"/>
        </w:rPr>
        <w:t>三、法定代表人资格证明书和法定代表人授权委托书</w:t>
      </w:r>
      <w:bookmarkEnd w:id="80"/>
    </w:p>
    <w:p>
      <w:pPr>
        <w:jc w:val="center"/>
        <w:rPr>
          <w:b/>
          <w:bCs/>
          <w:sz w:val="24"/>
          <w:szCs w:val="24"/>
        </w:rPr>
      </w:pPr>
    </w:p>
    <w:p>
      <w:pPr>
        <w:jc w:val="center"/>
        <w:rPr>
          <w:b/>
          <w:bCs/>
          <w:sz w:val="24"/>
          <w:szCs w:val="24"/>
        </w:rPr>
      </w:pPr>
    </w:p>
    <w:p>
      <w:pPr>
        <w:jc w:val="center"/>
        <w:rPr>
          <w:b/>
          <w:bCs/>
          <w:sz w:val="24"/>
          <w:szCs w:val="24"/>
        </w:rPr>
      </w:pPr>
      <w:r>
        <w:rPr>
          <w:rFonts w:hint="eastAsia"/>
          <w:b/>
          <w:bCs/>
          <w:sz w:val="24"/>
          <w:szCs w:val="24"/>
        </w:rPr>
        <w:t>法定代表人资格证明书</w:t>
      </w:r>
    </w:p>
    <w:p>
      <w:pPr>
        <w:pStyle w:val="11"/>
        <w:spacing w:line="480" w:lineRule="exact"/>
        <w:rPr>
          <w:rFonts w:hAnsi="宋体"/>
          <w:sz w:val="24"/>
          <w:szCs w:val="24"/>
          <w:u w:val="single"/>
        </w:rPr>
      </w:pPr>
      <w:r>
        <w:rPr>
          <w:rFonts w:hint="eastAsia" w:hAnsi="宋体"/>
          <w:sz w:val="24"/>
          <w:szCs w:val="24"/>
        </w:rPr>
        <w:t>单位名称：</w:t>
      </w:r>
    </w:p>
    <w:p>
      <w:pPr>
        <w:pStyle w:val="11"/>
        <w:spacing w:line="480" w:lineRule="exact"/>
        <w:rPr>
          <w:rFonts w:hAnsi="宋体"/>
          <w:sz w:val="24"/>
          <w:szCs w:val="24"/>
          <w:u w:val="single"/>
        </w:rPr>
      </w:pPr>
      <w:r>
        <w:rPr>
          <w:rFonts w:hint="eastAsia" w:hAnsi="宋体"/>
          <w:sz w:val="24"/>
          <w:szCs w:val="24"/>
        </w:rPr>
        <w:t>地    址：</w:t>
      </w:r>
    </w:p>
    <w:p>
      <w:pPr>
        <w:pStyle w:val="11"/>
        <w:spacing w:line="480" w:lineRule="exact"/>
        <w:rPr>
          <w:rFonts w:hAnsi="宋体"/>
          <w:sz w:val="24"/>
          <w:szCs w:val="24"/>
          <w:u w:val="single"/>
        </w:rPr>
      </w:pPr>
      <w:r>
        <w:rPr>
          <w:rFonts w:hint="eastAsia" w:hAnsi="宋体"/>
          <w:sz w:val="24"/>
          <w:szCs w:val="24"/>
        </w:rPr>
        <w:t>姓名： 性别： 年龄： 职务：</w:t>
      </w:r>
    </w:p>
    <w:p>
      <w:pPr>
        <w:pStyle w:val="11"/>
        <w:spacing w:line="480" w:lineRule="exact"/>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的法定代表人。</w:t>
      </w:r>
    </w:p>
    <w:p>
      <w:pPr>
        <w:pStyle w:val="11"/>
        <w:spacing w:line="480" w:lineRule="exact"/>
        <w:rPr>
          <w:rFonts w:hAnsi="宋体"/>
          <w:sz w:val="24"/>
          <w:szCs w:val="24"/>
        </w:rPr>
      </w:pPr>
      <w:r>
        <w:rPr>
          <w:rFonts w:hint="eastAsia" w:hAnsi="宋体"/>
          <w:sz w:val="24"/>
          <w:szCs w:val="24"/>
        </w:rPr>
        <w:t>特此证明。</w:t>
      </w:r>
    </w:p>
    <w:p>
      <w:pPr>
        <w:pStyle w:val="11"/>
        <w:spacing w:line="480" w:lineRule="exact"/>
        <w:rPr>
          <w:rFonts w:hAnsi="宋体"/>
          <w:sz w:val="24"/>
          <w:szCs w:val="24"/>
          <w:u w:val="single"/>
        </w:rPr>
      </w:pPr>
      <w:r>
        <w:rPr>
          <w:rFonts w:hint="eastAsia" w:hAnsi="宋体"/>
          <w:sz w:val="24"/>
          <w:szCs w:val="24"/>
        </w:rPr>
        <w:t>投标人(盖章)：</w:t>
      </w:r>
    </w:p>
    <w:p>
      <w:pPr>
        <w:pStyle w:val="11"/>
        <w:spacing w:line="480" w:lineRule="exact"/>
        <w:rPr>
          <w:rFonts w:hAnsi="宋体"/>
          <w:sz w:val="24"/>
          <w:szCs w:val="24"/>
        </w:rPr>
      </w:pPr>
      <w:r>
        <w:rPr>
          <w:rFonts w:hint="eastAsia" w:hAnsi="宋体"/>
          <w:sz w:val="24"/>
          <w:szCs w:val="24"/>
        </w:rPr>
        <w:t>日         期：</w:t>
      </w:r>
      <w:r>
        <w:rPr>
          <w:rFonts w:hint="eastAsia" w:hAnsi="宋体"/>
          <w:sz w:val="24"/>
          <w:szCs w:val="24"/>
          <w:u w:val="single"/>
        </w:rPr>
        <w:t xml:space="preserve">  201</w:t>
      </w:r>
      <w:r>
        <w:rPr>
          <w:rFonts w:hint="eastAsia" w:hAnsi="宋体"/>
          <w:sz w:val="24"/>
          <w:szCs w:val="24"/>
          <w:u w:val="single"/>
          <w:lang w:val="en-US" w:eastAsia="zh-CN"/>
        </w:rPr>
        <w:t>7</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pPr>
        <w:pStyle w:val="11"/>
        <w:spacing w:line="480" w:lineRule="exact"/>
        <w:ind w:left="133"/>
        <w:rPr>
          <w:rFonts w:hAnsi="宋体"/>
          <w:sz w:val="24"/>
          <w:szCs w:val="24"/>
        </w:rPr>
      </w:pPr>
    </w:p>
    <w:p>
      <w:pPr>
        <w:widowControl/>
        <w:jc w:val="left"/>
        <w:rPr>
          <w:b/>
          <w:sz w:val="24"/>
          <w:szCs w:val="24"/>
        </w:rPr>
      </w:pPr>
      <w:r>
        <w:rPr>
          <w:rFonts w:hint="eastAsia"/>
          <w:b/>
          <w:sz w:val="24"/>
          <w:szCs w:val="24"/>
        </w:rPr>
        <w:t>附：法定代表人身份证复印件</w:t>
      </w:r>
    </w:p>
    <w:p>
      <w:pPr>
        <w:pStyle w:val="11"/>
        <w:spacing w:line="480" w:lineRule="auto"/>
        <w:jc w:val="center"/>
        <w:rPr>
          <w:rFonts w:ascii="楷体_GB2312"/>
          <w:b/>
          <w:bCs/>
          <w:sz w:val="28"/>
        </w:rPr>
      </w:pPr>
    </w:p>
    <w:p>
      <w:pPr>
        <w:pStyle w:val="11"/>
        <w:spacing w:line="480" w:lineRule="auto"/>
        <w:jc w:val="center"/>
        <w:rPr>
          <w:rFonts w:ascii="楷体_GB2312"/>
          <w:b/>
          <w:bCs/>
          <w:sz w:val="28"/>
        </w:rPr>
      </w:pPr>
    </w:p>
    <w:p>
      <w:pPr>
        <w:pStyle w:val="11"/>
        <w:spacing w:line="360" w:lineRule="auto"/>
        <w:rPr>
          <w:rFonts w:ascii="仿宋_GB2312" w:eastAsia="仿宋_GB2312"/>
          <w:sz w:val="24"/>
        </w:rPr>
      </w:pPr>
    </w:p>
    <w:p>
      <w:pPr>
        <w:pStyle w:val="22"/>
        <w:sectPr>
          <w:pgSz w:w="11906" w:h="16838"/>
          <w:pgMar w:top="1361" w:right="1361" w:bottom="1361" w:left="1361" w:header="851" w:footer="992" w:gutter="0"/>
          <w:cols w:space="720" w:num="1"/>
          <w:docGrid w:type="lines" w:linePitch="312" w:charSpace="0"/>
        </w:sectPr>
      </w:pPr>
    </w:p>
    <w:p>
      <w:pPr>
        <w:jc w:val="center"/>
        <w:rPr>
          <w:b/>
          <w:bCs/>
          <w:sz w:val="24"/>
          <w:szCs w:val="24"/>
        </w:rPr>
      </w:pPr>
      <w:bookmarkStart w:id="81" w:name="_Toc419211387"/>
      <w:r>
        <w:rPr>
          <w:rFonts w:hint="eastAsia"/>
          <w:b/>
          <w:bCs/>
          <w:sz w:val="24"/>
          <w:szCs w:val="24"/>
        </w:rPr>
        <w:t>法定代表人授权委托书</w:t>
      </w:r>
      <w:bookmarkEnd w:id="81"/>
    </w:p>
    <w:p>
      <w:pPr>
        <w:pStyle w:val="11"/>
        <w:spacing w:line="480" w:lineRule="auto"/>
        <w:ind w:left="178" w:leftChars="85" w:firstLine="420" w:firstLineChars="200"/>
        <w:jc w:val="left"/>
        <w:rPr>
          <w:rFonts w:hAnsi="宋体"/>
        </w:rPr>
      </w:pPr>
    </w:p>
    <w:p>
      <w:pPr>
        <w:pStyle w:val="11"/>
        <w:spacing w:line="480" w:lineRule="exact"/>
        <w:jc w:val="left"/>
        <w:rPr>
          <w:rFonts w:hAnsi="宋体"/>
          <w:sz w:val="24"/>
          <w:szCs w:val="24"/>
        </w:rPr>
      </w:pPr>
      <w:r>
        <w:rPr>
          <w:rFonts w:hint="eastAsia" w:hAnsi="宋体"/>
          <w:sz w:val="24"/>
          <w:szCs w:val="24"/>
        </w:rPr>
        <w:t>本授权委托书声明：我(姓名)系(投标人名称)的法定代表人，现授权委托</w:t>
      </w:r>
      <w:r>
        <w:rPr>
          <w:rFonts w:hint="eastAsia" w:hAnsi="宋体"/>
          <w:sz w:val="24"/>
          <w:szCs w:val="24"/>
          <w:u w:val="single"/>
        </w:rPr>
        <w:t xml:space="preserve">        (单位名称)</w:t>
      </w:r>
      <w:r>
        <w:rPr>
          <w:rFonts w:hint="eastAsia" w:hAnsi="宋体"/>
          <w:sz w:val="24"/>
          <w:szCs w:val="24"/>
        </w:rPr>
        <w:t>的(姓名 )为我公司签署</w:t>
      </w:r>
      <w:r>
        <w:rPr>
          <w:rFonts w:hint="eastAsia" w:hAnsi="宋体"/>
          <w:sz w:val="24"/>
          <w:szCs w:val="24"/>
          <w:u w:val="single"/>
        </w:rPr>
        <w:t xml:space="preserve">    （项目名称）    </w:t>
      </w:r>
      <w:r>
        <w:rPr>
          <w:rFonts w:hint="eastAsia" w:hAnsi="宋体"/>
          <w:sz w:val="24"/>
          <w:szCs w:val="24"/>
        </w:rPr>
        <w:t>投标文件的法定代表人的授权委托代理人，我承认代理人全权代表我所签署的</w:t>
      </w:r>
      <w:r>
        <w:rPr>
          <w:rFonts w:hint="eastAsia" w:hAnsi="宋体"/>
          <w:sz w:val="24"/>
          <w:szCs w:val="24"/>
          <w:u w:val="single"/>
        </w:rPr>
        <w:t xml:space="preserve">         （项目名称）     </w:t>
      </w:r>
      <w:r>
        <w:rPr>
          <w:rFonts w:hint="eastAsia" w:hAnsi="宋体"/>
          <w:sz w:val="24"/>
          <w:szCs w:val="24"/>
        </w:rPr>
        <w:t>投标文件的内容。</w:t>
      </w:r>
    </w:p>
    <w:p>
      <w:pPr>
        <w:pStyle w:val="11"/>
        <w:spacing w:line="480" w:lineRule="exact"/>
        <w:rPr>
          <w:rFonts w:hAnsi="宋体"/>
        </w:rPr>
      </w:pPr>
      <w:r>
        <w:rPr>
          <w:rFonts w:hint="eastAsia" w:hAnsi="宋体"/>
          <w:sz w:val="24"/>
          <w:szCs w:val="24"/>
        </w:rPr>
        <w:t>代理人无转委托权，特此委托。</w:t>
      </w:r>
    </w:p>
    <w:p>
      <w:pPr>
        <w:pStyle w:val="11"/>
        <w:spacing w:line="480" w:lineRule="exact"/>
        <w:jc w:val="left"/>
        <w:rPr>
          <w:rFonts w:hAnsi="宋体"/>
          <w:sz w:val="24"/>
          <w:szCs w:val="24"/>
        </w:rPr>
      </w:pPr>
      <w:r>
        <w:rPr>
          <w:rFonts w:hint="eastAsia" w:hAnsi="宋体"/>
          <w:sz w:val="24"/>
          <w:szCs w:val="24"/>
        </w:rPr>
        <w:t xml:space="preserve">代理人：       性别：          年龄：           </w:t>
      </w:r>
    </w:p>
    <w:p>
      <w:pPr>
        <w:pStyle w:val="11"/>
        <w:spacing w:line="480" w:lineRule="exact"/>
        <w:jc w:val="left"/>
        <w:rPr>
          <w:rFonts w:hAnsi="宋体"/>
          <w:sz w:val="24"/>
          <w:szCs w:val="24"/>
        </w:rPr>
      </w:pPr>
      <w:r>
        <w:rPr>
          <w:rFonts w:hint="eastAsia" w:hAnsi="宋体"/>
          <w:sz w:val="24"/>
          <w:szCs w:val="24"/>
        </w:rPr>
        <w:t xml:space="preserve">身份证号码：                    职务：          </w:t>
      </w:r>
    </w:p>
    <w:p>
      <w:pPr>
        <w:pStyle w:val="11"/>
        <w:spacing w:line="480" w:lineRule="exact"/>
        <w:jc w:val="left"/>
        <w:rPr>
          <w:rFonts w:hAnsi="宋体"/>
          <w:sz w:val="24"/>
          <w:szCs w:val="24"/>
        </w:rPr>
      </w:pPr>
      <w:r>
        <w:rPr>
          <w:rFonts w:hint="eastAsia" w:hAnsi="宋体"/>
          <w:sz w:val="24"/>
          <w:szCs w:val="24"/>
        </w:rPr>
        <w:t xml:space="preserve">投标人(盖章)：                        </w:t>
      </w:r>
    </w:p>
    <w:p>
      <w:pPr>
        <w:pStyle w:val="11"/>
        <w:spacing w:line="480" w:lineRule="exact"/>
        <w:jc w:val="left"/>
        <w:rPr>
          <w:rFonts w:hAnsi="宋体"/>
          <w:sz w:val="24"/>
          <w:szCs w:val="24"/>
        </w:rPr>
      </w:pPr>
      <w:r>
        <w:rPr>
          <w:rFonts w:hint="eastAsia" w:hAnsi="宋体"/>
          <w:sz w:val="24"/>
          <w:szCs w:val="24"/>
        </w:rPr>
        <w:t xml:space="preserve">法定代表人(签字或盖章)：                                        </w:t>
      </w:r>
    </w:p>
    <w:p>
      <w:pPr>
        <w:pStyle w:val="11"/>
        <w:spacing w:line="480" w:lineRule="exact"/>
        <w:jc w:val="left"/>
        <w:rPr>
          <w:rFonts w:hAnsi="宋体"/>
          <w:sz w:val="24"/>
          <w:szCs w:val="24"/>
        </w:rPr>
      </w:pPr>
      <w:r>
        <w:rPr>
          <w:rFonts w:hint="eastAsia" w:hAnsi="宋体"/>
          <w:sz w:val="24"/>
          <w:szCs w:val="24"/>
        </w:rPr>
        <w:t xml:space="preserve">授权委托日期： </w:t>
      </w:r>
      <w:r>
        <w:rPr>
          <w:rFonts w:hint="eastAsia" w:hAnsi="宋体"/>
          <w:sz w:val="24"/>
          <w:szCs w:val="24"/>
          <w:u w:val="single"/>
        </w:rPr>
        <w:t>201</w:t>
      </w:r>
      <w:r>
        <w:rPr>
          <w:rFonts w:hint="eastAsia" w:hAnsi="宋体"/>
          <w:sz w:val="24"/>
          <w:szCs w:val="24"/>
          <w:u w:val="single"/>
          <w:lang w:val="en-US" w:eastAsia="zh-CN"/>
        </w:rPr>
        <w:t>7</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日 </w:t>
      </w:r>
    </w:p>
    <w:p>
      <w:pPr>
        <w:pStyle w:val="11"/>
        <w:spacing w:line="480" w:lineRule="exact"/>
        <w:jc w:val="left"/>
        <w:rPr>
          <w:rFonts w:hAnsi="宋体"/>
          <w:sz w:val="24"/>
          <w:szCs w:val="24"/>
        </w:rPr>
      </w:pPr>
    </w:p>
    <w:p>
      <w:pPr>
        <w:pStyle w:val="11"/>
        <w:spacing w:line="480" w:lineRule="exact"/>
        <w:jc w:val="left"/>
        <w:rPr>
          <w:sz w:val="24"/>
          <w:szCs w:val="24"/>
        </w:rPr>
      </w:pPr>
    </w:p>
    <w:p>
      <w:pPr>
        <w:widowControl/>
        <w:jc w:val="left"/>
        <w:rPr>
          <w:b/>
          <w:sz w:val="24"/>
          <w:szCs w:val="24"/>
        </w:rPr>
      </w:pPr>
      <w:r>
        <w:rPr>
          <w:rFonts w:hint="eastAsia"/>
          <w:b/>
          <w:sz w:val="24"/>
          <w:szCs w:val="24"/>
        </w:rPr>
        <w:t>附：授权委托人身份证复印件</w:t>
      </w:r>
    </w:p>
    <w:p>
      <w:pPr>
        <w:spacing w:line="440" w:lineRule="exact"/>
      </w:pPr>
    </w:p>
    <w:p>
      <w:pPr>
        <w:spacing w:line="440" w:lineRule="exact"/>
      </w:pPr>
    </w:p>
    <w:p>
      <w:pPr>
        <w:spacing w:line="440" w:lineRule="exact"/>
        <w:sectPr>
          <w:pgSz w:w="11906" w:h="16838"/>
          <w:pgMar w:top="1361" w:right="1361" w:bottom="1361" w:left="1361" w:header="851" w:footer="992" w:gutter="0"/>
          <w:cols w:space="720" w:num="1"/>
          <w:docGrid w:type="lines" w:linePitch="312" w:charSpace="0"/>
        </w:sectPr>
      </w:pPr>
    </w:p>
    <w:p>
      <w:pPr>
        <w:pStyle w:val="3"/>
        <w:rPr>
          <w:rFonts w:ascii="宋体" w:hAnsi="宋体" w:eastAsia="宋体" w:cs="宋体"/>
        </w:rPr>
      </w:pPr>
      <w:bookmarkStart w:id="82" w:name="_Toc457481166"/>
      <w:r>
        <w:rPr>
          <w:rFonts w:hint="eastAsia" w:ascii="宋体" w:hAnsi="宋体" w:eastAsia="宋体" w:cs="宋体"/>
        </w:rPr>
        <w:t>四、资格审查文件</w:t>
      </w:r>
      <w:bookmarkEnd w:id="82"/>
    </w:p>
    <w:p>
      <w:pPr>
        <w:spacing w:line="440" w:lineRule="exact"/>
        <w:ind w:firstLine="725" w:firstLineChars="302"/>
        <w:rPr>
          <w:rFonts w:ascii="宋体" w:hAnsi="宋体" w:cs="Courier New"/>
          <w:sz w:val="24"/>
          <w:szCs w:val="24"/>
        </w:rPr>
      </w:pPr>
      <w:r>
        <w:rPr>
          <w:rFonts w:hint="eastAsia" w:ascii="宋体" w:hAnsi="宋体" w:cs="Courier New"/>
          <w:sz w:val="24"/>
          <w:szCs w:val="24"/>
        </w:rPr>
        <w:t>a.营业执照副本</w:t>
      </w:r>
    </w:p>
    <w:p>
      <w:pPr>
        <w:spacing w:line="440" w:lineRule="exact"/>
        <w:ind w:firstLine="725" w:firstLineChars="302"/>
        <w:rPr>
          <w:rFonts w:ascii="宋体" w:hAnsi="宋体" w:cs="Courier New"/>
          <w:sz w:val="24"/>
          <w:szCs w:val="24"/>
        </w:rPr>
      </w:pPr>
      <w:r>
        <w:rPr>
          <w:rFonts w:hint="eastAsia" w:ascii="宋体" w:hAnsi="宋体" w:cs="Courier New"/>
          <w:sz w:val="24"/>
          <w:szCs w:val="24"/>
        </w:rPr>
        <w:t>b.资质证书</w:t>
      </w:r>
    </w:p>
    <w:p>
      <w:pPr>
        <w:spacing w:line="440" w:lineRule="exact"/>
        <w:ind w:firstLine="725" w:firstLineChars="302"/>
        <w:rPr>
          <w:rFonts w:ascii="宋体" w:hAnsi="宋体" w:cs="Courier New"/>
          <w:sz w:val="24"/>
          <w:szCs w:val="24"/>
        </w:rPr>
      </w:pPr>
      <w:r>
        <w:rPr>
          <w:rFonts w:hint="eastAsia" w:ascii="宋体" w:hAnsi="宋体" w:cs="Courier New"/>
          <w:sz w:val="24"/>
          <w:szCs w:val="24"/>
        </w:rPr>
        <w:t>c.</w:t>
      </w:r>
      <w:r>
        <w:rPr>
          <w:rFonts w:ascii="宋体" w:hAnsi="宋体" w:cs="Courier New"/>
          <w:sz w:val="24"/>
          <w:szCs w:val="24"/>
        </w:rPr>
        <w:t xml:space="preserve"> </w:t>
      </w:r>
      <w:r>
        <w:rPr>
          <w:rFonts w:hint="eastAsia" w:ascii="宋体" w:hAnsi="宋体" w:cs="Courier New"/>
          <w:sz w:val="24"/>
          <w:szCs w:val="24"/>
        </w:rPr>
        <w:t>有效税务登记证书</w:t>
      </w:r>
    </w:p>
    <w:p>
      <w:pPr>
        <w:rPr>
          <w:rFonts w:ascii="宋体" w:hAnsi="宋体" w:cs="Courier New"/>
          <w:sz w:val="24"/>
          <w:szCs w:val="24"/>
        </w:rPr>
      </w:pPr>
      <w:r>
        <w:rPr>
          <w:rFonts w:hint="eastAsia" w:ascii="宋体" w:hAnsi="宋体" w:cs="Courier New"/>
          <w:sz w:val="24"/>
          <w:szCs w:val="24"/>
        </w:rPr>
        <w:tab/>
      </w:r>
      <w:r>
        <w:rPr>
          <w:rFonts w:hint="eastAsia" w:ascii="宋体" w:hAnsi="宋体" w:cs="Courier New"/>
          <w:sz w:val="24"/>
          <w:szCs w:val="24"/>
        </w:rPr>
        <w:t xml:space="preserve">  d.项目负责人资格证书</w:t>
      </w:r>
    </w:p>
    <w:p>
      <w:pPr>
        <w:spacing w:line="440" w:lineRule="exact"/>
        <w:outlineLvl w:val="2"/>
        <w:rPr>
          <w:rFonts w:ascii="宋体" w:hAnsi="宋体" w:cs="Courier New"/>
          <w:sz w:val="24"/>
          <w:szCs w:val="24"/>
        </w:rPr>
        <w:sectPr>
          <w:pgSz w:w="11906" w:h="16838"/>
          <w:pgMar w:top="1361" w:right="1361" w:bottom="1361" w:left="1361" w:header="851" w:footer="992" w:gutter="0"/>
          <w:cols w:space="720" w:num="1"/>
          <w:docGrid w:type="lines" w:linePitch="312" w:charSpace="0"/>
        </w:sectPr>
      </w:pPr>
    </w:p>
    <w:p>
      <w:pPr>
        <w:pStyle w:val="3"/>
        <w:rPr>
          <w:rFonts w:ascii="宋体" w:hAnsi="宋体" w:eastAsia="宋体" w:cs="宋体"/>
        </w:rPr>
      </w:pPr>
      <w:bookmarkStart w:id="83" w:name="_Toc457481167"/>
      <w:r>
        <w:rPr>
          <w:rFonts w:hint="eastAsia" w:ascii="宋体" w:hAnsi="宋体" w:eastAsia="宋体" w:cs="宋体"/>
        </w:rPr>
        <w:t>五、</w:t>
      </w:r>
      <w:r>
        <w:rPr>
          <w:rFonts w:hint="eastAsia" w:ascii="宋体" w:hAnsi="宋体" w:eastAsia="宋体" w:cs="宋体"/>
          <w:lang w:eastAsia="zh-CN"/>
        </w:rPr>
        <w:t>第三方监测及主体沉降观测</w:t>
      </w:r>
      <w:r>
        <w:rPr>
          <w:rFonts w:hint="eastAsia" w:ascii="宋体" w:hAnsi="宋体" w:eastAsia="宋体" w:cs="宋体"/>
        </w:rPr>
        <w:t>技术方案及服务方案</w:t>
      </w:r>
      <w:bookmarkEnd w:id="83"/>
    </w:p>
    <w:p>
      <w:pPr>
        <w:spacing w:line="440" w:lineRule="exact"/>
        <w:rPr>
          <w:b/>
          <w:sz w:val="24"/>
          <w:szCs w:val="24"/>
        </w:rPr>
      </w:pPr>
    </w:p>
    <w:p>
      <w:pPr>
        <w:spacing w:line="440" w:lineRule="exact"/>
        <w:jc w:val="center"/>
        <w:rPr>
          <w:b/>
          <w:sz w:val="24"/>
          <w:szCs w:val="24"/>
        </w:rPr>
      </w:pPr>
      <w:r>
        <w:rPr>
          <w:rFonts w:hint="eastAsia"/>
          <w:b/>
          <w:sz w:val="24"/>
          <w:szCs w:val="24"/>
        </w:rPr>
        <w:t>格式及内容自拟</w:t>
      </w:r>
    </w:p>
    <w:p>
      <w:pPr>
        <w:spacing w:line="440" w:lineRule="exact"/>
        <w:jc w:val="center"/>
      </w:pPr>
    </w:p>
    <w:p/>
    <w:p>
      <w:pPr>
        <w:sectPr>
          <w:pgSz w:w="11906" w:h="16838"/>
          <w:pgMar w:top="1361" w:right="1361" w:bottom="1361" w:left="1361" w:header="851" w:footer="992" w:gutter="0"/>
          <w:cols w:space="720" w:num="1"/>
          <w:docGrid w:type="lines" w:linePitch="312" w:charSpace="0"/>
        </w:sectPr>
      </w:pPr>
    </w:p>
    <w:p>
      <w:pPr>
        <w:pStyle w:val="3"/>
        <w:rPr>
          <w:rFonts w:ascii="宋体" w:hAnsi="宋体" w:eastAsia="宋体" w:cs="宋体"/>
        </w:rPr>
      </w:pPr>
      <w:bookmarkStart w:id="84" w:name="_Toc457481168"/>
      <w:r>
        <w:rPr>
          <w:rFonts w:hint="eastAsia" w:ascii="宋体" w:hAnsi="宋体" w:eastAsia="宋体" w:cs="宋体"/>
        </w:rPr>
        <w:t>六、</w:t>
      </w:r>
      <w:r>
        <w:rPr>
          <w:rFonts w:hint="eastAsia" w:ascii="宋体" w:hAnsi="宋体" w:eastAsia="宋体" w:cs="宋体"/>
          <w:lang w:eastAsia="zh-CN"/>
        </w:rPr>
        <w:t>第三方监测及主体沉降观测</w:t>
      </w:r>
      <w:r>
        <w:rPr>
          <w:rFonts w:hint="eastAsia" w:ascii="宋体" w:hAnsi="宋体" w:eastAsia="宋体" w:cs="宋体"/>
        </w:rPr>
        <w:t>业绩汇总表格式</w:t>
      </w:r>
      <w:bookmarkEnd w:id="84"/>
    </w:p>
    <w:p>
      <w:pPr>
        <w:jc w:val="center"/>
        <w:rPr>
          <w:rFonts w:ascii="宋体" w:hAnsi="宋体" w:cs="宋体"/>
          <w:sz w:val="24"/>
          <w:szCs w:val="24"/>
        </w:rPr>
      </w:pPr>
    </w:p>
    <w:p>
      <w:pPr>
        <w:jc w:val="center"/>
        <w:rPr>
          <w:rFonts w:ascii="宋体" w:hAnsi="宋体" w:cs="宋体"/>
          <w:sz w:val="24"/>
          <w:szCs w:val="24"/>
        </w:rPr>
      </w:pPr>
      <w:r>
        <w:rPr>
          <w:rFonts w:hint="eastAsia" w:ascii="宋体" w:hAnsi="宋体" w:cs="宋体"/>
          <w:sz w:val="24"/>
          <w:szCs w:val="24"/>
          <w:lang w:eastAsia="zh-CN"/>
        </w:rPr>
        <w:t>第三方监测及主体沉降观测</w:t>
      </w:r>
      <w:r>
        <w:rPr>
          <w:rFonts w:hint="eastAsia" w:ascii="宋体" w:hAnsi="宋体" w:cs="宋体"/>
          <w:sz w:val="24"/>
          <w:szCs w:val="24"/>
        </w:rPr>
        <w:t>主要业绩汇总表（201</w:t>
      </w:r>
      <w:r>
        <w:rPr>
          <w:rFonts w:hint="eastAsia" w:ascii="宋体" w:hAnsi="宋体" w:cs="宋体"/>
          <w:sz w:val="24"/>
          <w:szCs w:val="24"/>
          <w:lang w:val="en-US" w:eastAsia="zh-CN"/>
        </w:rPr>
        <w:t>3</w:t>
      </w: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—201</w:t>
      </w:r>
      <w:r>
        <w:rPr>
          <w:rFonts w:hint="eastAsia" w:ascii="宋体" w:hAnsi="宋体" w:cs="宋体"/>
          <w:sz w:val="24"/>
          <w:szCs w:val="24"/>
          <w:lang w:val="en-US" w:eastAsia="zh-CN"/>
        </w:rPr>
        <w:t>7</w:t>
      </w: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w:t>
      </w:r>
    </w:p>
    <w:tbl>
      <w:tblPr>
        <w:tblStyle w:val="25"/>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2072"/>
        <w:gridCol w:w="885"/>
        <w:gridCol w:w="1053"/>
        <w:gridCol w:w="1386"/>
        <w:gridCol w:w="1760"/>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1"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序号</w:t>
            </w:r>
          </w:p>
        </w:tc>
        <w:tc>
          <w:tcPr>
            <w:tcW w:w="2072"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项目名称</w:t>
            </w:r>
          </w:p>
        </w:tc>
        <w:tc>
          <w:tcPr>
            <w:tcW w:w="885"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项目造价（万元）</w:t>
            </w:r>
          </w:p>
        </w:tc>
        <w:tc>
          <w:tcPr>
            <w:tcW w:w="1053" w:type="dxa"/>
            <w:vAlign w:val="center"/>
          </w:tcPr>
          <w:p>
            <w:pPr>
              <w:widowControl/>
              <w:jc w:val="center"/>
              <w:rPr>
                <w:rFonts w:ascii="宋体" w:hAnsi="宋体" w:cs="宋体"/>
                <w:kern w:val="0"/>
                <w:sz w:val="24"/>
                <w:szCs w:val="24"/>
              </w:rPr>
            </w:pPr>
            <w:r>
              <w:rPr>
                <w:rFonts w:hint="eastAsia" w:ascii="宋体" w:hAnsi="宋体" w:cs="宋体"/>
                <w:kern w:val="0"/>
                <w:sz w:val="24"/>
                <w:szCs w:val="24"/>
              </w:rPr>
              <w:t>签订时间</w:t>
            </w:r>
          </w:p>
        </w:tc>
        <w:tc>
          <w:tcPr>
            <w:tcW w:w="1386"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项目专业类型</w:t>
            </w:r>
          </w:p>
        </w:tc>
        <w:tc>
          <w:tcPr>
            <w:tcW w:w="1760" w:type="dxa"/>
            <w:vAlign w:val="center"/>
          </w:tcPr>
          <w:p>
            <w:pPr>
              <w:widowControl/>
              <w:jc w:val="center"/>
              <w:rPr>
                <w:rFonts w:ascii="宋体" w:hAnsi="宋体" w:cs="宋体"/>
                <w:kern w:val="0"/>
                <w:sz w:val="24"/>
                <w:szCs w:val="24"/>
              </w:rPr>
            </w:pPr>
            <w:r>
              <w:rPr>
                <w:rFonts w:hint="eastAsia" w:ascii="宋体" w:hAnsi="宋体" w:cs="宋体"/>
                <w:kern w:val="0"/>
                <w:sz w:val="24"/>
                <w:szCs w:val="24"/>
              </w:rPr>
              <w:t>项目地址</w:t>
            </w:r>
          </w:p>
        </w:tc>
        <w:tc>
          <w:tcPr>
            <w:tcW w:w="1760" w:type="dxa"/>
            <w:vAlign w:val="center"/>
          </w:tcPr>
          <w:p>
            <w:pPr>
              <w:widowControl/>
              <w:jc w:val="center"/>
              <w:rPr>
                <w:rFonts w:ascii="宋体" w:hAnsi="宋体" w:cs="宋体"/>
                <w:kern w:val="0"/>
                <w:sz w:val="24"/>
                <w:szCs w:val="24"/>
              </w:rPr>
            </w:pPr>
            <w:r>
              <w:rPr>
                <w:rFonts w:hint="eastAsia" w:ascii="宋体" w:hAnsi="宋体" w:cs="宋体"/>
                <w:kern w:val="0"/>
                <w:sz w:val="24"/>
                <w:szCs w:val="24"/>
              </w:rPr>
              <w:t>业主名称/联系人/电话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1</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2</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3</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4</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7" w:hRule="atLeast"/>
        </w:trPr>
        <w:tc>
          <w:tcPr>
            <w:tcW w:w="484" w:type="dxa"/>
            <w:vAlign w:val="center"/>
          </w:tcPr>
          <w:p>
            <w:pPr>
              <w:widowControl/>
              <w:jc w:val="center"/>
              <w:rPr>
                <w:rFonts w:ascii="宋体" w:hAnsi="宋体" w:cs="宋体"/>
                <w:kern w:val="0"/>
                <w:sz w:val="24"/>
                <w:szCs w:val="24"/>
              </w:rPr>
            </w:pPr>
            <w:r>
              <w:rPr>
                <w:rFonts w:hint="eastAsia" w:ascii="宋体" w:hAnsi="宋体" w:cs="宋体"/>
                <w:kern w:val="0"/>
                <w:sz w:val="24"/>
                <w:szCs w:val="24"/>
              </w:rPr>
              <w:t>5</w:t>
            </w:r>
          </w:p>
        </w:tc>
        <w:tc>
          <w:tcPr>
            <w:tcW w:w="2072" w:type="dxa"/>
            <w:vAlign w:val="center"/>
          </w:tcPr>
          <w:p>
            <w:pPr>
              <w:widowControl/>
              <w:jc w:val="center"/>
              <w:rPr>
                <w:rFonts w:ascii="宋体" w:hAnsi="宋体" w:cs="宋体"/>
                <w:kern w:val="0"/>
                <w:sz w:val="24"/>
                <w:szCs w:val="24"/>
              </w:rPr>
            </w:pPr>
          </w:p>
        </w:tc>
        <w:tc>
          <w:tcPr>
            <w:tcW w:w="885" w:type="dxa"/>
            <w:vAlign w:val="center"/>
          </w:tcPr>
          <w:p>
            <w:pPr>
              <w:widowControl/>
              <w:jc w:val="center"/>
              <w:rPr>
                <w:rFonts w:ascii="宋体" w:hAnsi="宋体" w:cs="宋体"/>
                <w:kern w:val="0"/>
                <w:sz w:val="24"/>
                <w:szCs w:val="24"/>
              </w:rPr>
            </w:pPr>
          </w:p>
        </w:tc>
        <w:tc>
          <w:tcPr>
            <w:tcW w:w="1053" w:type="dxa"/>
            <w:vAlign w:val="center"/>
          </w:tcPr>
          <w:p>
            <w:pPr>
              <w:widowControl/>
              <w:jc w:val="center"/>
              <w:rPr>
                <w:rFonts w:ascii="宋体" w:hAnsi="宋体" w:cs="宋体"/>
                <w:kern w:val="0"/>
                <w:sz w:val="24"/>
                <w:szCs w:val="24"/>
              </w:rPr>
            </w:pPr>
          </w:p>
        </w:tc>
        <w:tc>
          <w:tcPr>
            <w:tcW w:w="1386"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c>
          <w:tcPr>
            <w:tcW w:w="1760" w:type="dxa"/>
            <w:vAlign w:val="center"/>
          </w:tcPr>
          <w:p>
            <w:pPr>
              <w:widowControl/>
              <w:jc w:val="center"/>
              <w:rPr>
                <w:rFonts w:ascii="宋体" w:hAnsi="宋体" w:cs="宋体"/>
                <w:kern w:val="0"/>
                <w:sz w:val="24"/>
                <w:szCs w:val="24"/>
              </w:rPr>
            </w:pPr>
          </w:p>
        </w:tc>
      </w:tr>
    </w:tbl>
    <w:p/>
    <w:p>
      <w:pPr>
        <w:rPr>
          <w:rFonts w:ascii="宋体" w:hAnsi="宋体" w:cs="宋体"/>
          <w:sz w:val="28"/>
          <w:szCs w:val="28"/>
        </w:rPr>
      </w:pPr>
      <w:r>
        <w:rPr>
          <w:rFonts w:hint="eastAsia" w:ascii="宋体" w:hAnsi="宋体" w:cs="宋体"/>
          <w:sz w:val="28"/>
          <w:szCs w:val="28"/>
        </w:rPr>
        <w:t xml:space="preserve">备注：  </w:t>
      </w:r>
    </w:p>
    <w:p>
      <w:pPr>
        <w:spacing w:line="440" w:lineRule="exact"/>
        <w:ind w:firstLine="725" w:firstLineChars="302"/>
        <w:rPr>
          <w:rFonts w:ascii="宋体" w:hAnsi="宋体" w:cs="Courier New"/>
          <w:sz w:val="24"/>
          <w:szCs w:val="24"/>
        </w:rPr>
      </w:pPr>
      <w:r>
        <w:rPr>
          <w:rFonts w:hint="eastAsia" w:ascii="宋体" w:hAnsi="宋体" w:cs="Courier New"/>
          <w:sz w:val="24"/>
          <w:szCs w:val="24"/>
        </w:rPr>
        <w:t>1.此表由</w:t>
      </w:r>
      <w:r>
        <w:rPr>
          <w:rFonts w:hint="eastAsia" w:ascii="宋体" w:hAnsi="宋体" w:cs="Courier New"/>
          <w:sz w:val="24"/>
          <w:szCs w:val="24"/>
          <w:lang w:eastAsia="zh-CN"/>
        </w:rPr>
        <w:t>第三方监测及主体沉降观测</w:t>
      </w:r>
      <w:r>
        <w:rPr>
          <w:rFonts w:hint="eastAsia" w:ascii="宋体" w:hAnsi="宋体" w:cs="Courier New"/>
          <w:sz w:val="24"/>
          <w:szCs w:val="24"/>
        </w:rPr>
        <w:t xml:space="preserve">单位如实填写，如预留空格不够，可由投标人自行向下扩展，但不得改变本表格的格式。    </w:t>
      </w:r>
    </w:p>
    <w:p>
      <w:pPr>
        <w:spacing w:line="440" w:lineRule="exact"/>
        <w:ind w:firstLine="725" w:firstLineChars="302"/>
        <w:rPr>
          <w:rFonts w:ascii="宋体" w:hAnsi="宋体" w:cs="Courier New"/>
          <w:sz w:val="24"/>
          <w:szCs w:val="24"/>
        </w:rPr>
      </w:pPr>
      <w:r>
        <w:rPr>
          <w:rFonts w:hint="eastAsia" w:ascii="宋体" w:hAnsi="宋体" w:cs="Courier New"/>
          <w:sz w:val="24"/>
          <w:szCs w:val="24"/>
        </w:rPr>
        <w:t>2．</w:t>
      </w:r>
      <w:r>
        <w:rPr>
          <w:rFonts w:hint="eastAsia" w:ascii="宋体" w:hAnsi="宋体" w:cs="Courier New"/>
          <w:sz w:val="24"/>
          <w:szCs w:val="24"/>
          <w:lang w:eastAsia="zh-CN"/>
        </w:rPr>
        <w:t>第三方监测及主体沉降观测</w:t>
      </w:r>
      <w:r>
        <w:rPr>
          <w:rFonts w:hint="eastAsia" w:ascii="宋体" w:hAnsi="宋体" w:cs="Courier New"/>
          <w:sz w:val="24"/>
          <w:szCs w:val="24"/>
        </w:rPr>
        <w:t>单位应留下能证明其业绩的招标人有效联系人和电话备查，如联系人和电话不真实或多次无法联系，将影响其业绩确认。</w:t>
      </w:r>
    </w:p>
    <w:p>
      <w:pPr>
        <w:spacing w:line="440" w:lineRule="exact"/>
        <w:ind w:firstLine="725" w:firstLineChars="302"/>
        <w:rPr>
          <w:rFonts w:ascii="宋体" w:hAnsi="宋体" w:cs="Courier New"/>
          <w:sz w:val="24"/>
          <w:szCs w:val="24"/>
        </w:rPr>
      </w:pPr>
    </w:p>
    <w:p/>
    <w:p/>
    <w:p/>
    <w:p/>
    <w:p/>
    <w:p/>
    <w:p/>
    <w:p/>
    <w:p/>
    <w:p/>
    <w:p/>
    <w:p/>
    <w:p/>
    <w:p/>
    <w:p/>
    <w:p>
      <w:pPr>
        <w:pStyle w:val="3"/>
        <w:rPr>
          <w:rFonts w:ascii="宋体" w:hAnsi="宋体" w:eastAsia="宋体" w:cs="宋体"/>
        </w:rPr>
      </w:pPr>
    </w:p>
    <w:p>
      <w:pPr>
        <w:pStyle w:val="4"/>
        <w:ind w:firstLine="400"/>
      </w:pPr>
    </w:p>
    <w:p>
      <w:pPr>
        <w:pStyle w:val="3"/>
        <w:numPr>
          <w:ilvl w:val="0"/>
          <w:numId w:val="5"/>
        </w:numPr>
        <w:rPr>
          <w:rFonts w:hint="eastAsia" w:ascii="宋体" w:hAnsi="宋体" w:eastAsia="宋体" w:cs="宋体"/>
          <w:lang w:eastAsia="zh-CN"/>
        </w:rPr>
      </w:pPr>
      <w:bookmarkStart w:id="85" w:name="_Toc457481169"/>
      <w:r>
        <w:rPr>
          <w:rFonts w:hint="eastAsia" w:ascii="宋体" w:hAnsi="宋体" w:eastAsia="宋体" w:cs="宋体"/>
          <w:lang w:eastAsia="zh-CN"/>
        </w:rPr>
        <w:t>主要人员配备表</w:t>
      </w:r>
    </w:p>
    <w:p>
      <w:pPr>
        <w:adjustRightInd w:val="0"/>
        <w:snapToGrid w:val="0"/>
        <w:spacing w:line="360" w:lineRule="auto"/>
        <w:jc w:val="center"/>
        <w:rPr>
          <w:rFonts w:eastAsia="黑体"/>
          <w:kern w:val="0"/>
          <w:sz w:val="32"/>
          <w:szCs w:val="32"/>
        </w:rPr>
      </w:pPr>
      <w:r>
        <w:rPr>
          <w:rFonts w:hint="eastAsia" w:eastAsia="黑体"/>
          <w:kern w:val="0"/>
          <w:sz w:val="32"/>
          <w:szCs w:val="32"/>
        </w:rPr>
        <w:t>拟投入本项目勘察人员汇总表</w:t>
      </w:r>
    </w:p>
    <w:p>
      <w:pPr>
        <w:adjustRightInd w:val="0"/>
        <w:snapToGrid w:val="0"/>
        <w:spacing w:line="360" w:lineRule="auto"/>
        <w:jc w:val="center"/>
        <w:rPr>
          <w:rFonts w:ascii="宋体" w:hAnsi="宋体"/>
          <w:kern w:val="0"/>
          <w:sz w:val="24"/>
        </w:rPr>
      </w:pPr>
      <w:r>
        <w:rPr>
          <w:rFonts w:hint="eastAsia" w:ascii="宋体" w:hAnsi="宋体"/>
          <w:kern w:val="0"/>
          <w:sz w:val="24"/>
        </w:rPr>
        <w:t>（从企业信息备案库中选择）</w:t>
      </w:r>
    </w:p>
    <w:p>
      <w:pPr>
        <w:adjustRightInd w:val="0"/>
        <w:snapToGrid w:val="0"/>
        <w:spacing w:line="360" w:lineRule="auto"/>
        <w:jc w:val="left"/>
        <w:rPr>
          <w:rFonts w:ascii="宋体" w:hAnsi="宋体"/>
          <w:b/>
          <w:kern w:val="0"/>
          <w:sz w:val="22"/>
          <w:szCs w:val="22"/>
        </w:rPr>
      </w:pPr>
      <w:r>
        <w:rPr>
          <w:rFonts w:hint="eastAsia" w:ascii="宋体" w:hAnsi="宋体"/>
          <w:b/>
          <w:kern w:val="0"/>
          <w:sz w:val="22"/>
          <w:szCs w:val="22"/>
        </w:rPr>
        <w:t>一、注册人员</w:t>
      </w:r>
    </w:p>
    <w:tbl>
      <w:tblPr>
        <w:tblStyle w:val="25"/>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981"/>
        <w:gridCol w:w="437"/>
        <w:gridCol w:w="1139"/>
        <w:gridCol w:w="596"/>
        <w:gridCol w:w="741"/>
        <w:gridCol w:w="674"/>
        <w:gridCol w:w="1183"/>
        <w:gridCol w:w="676"/>
        <w:gridCol w:w="1014"/>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39"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序号</w:t>
            </w:r>
          </w:p>
        </w:tc>
        <w:tc>
          <w:tcPr>
            <w:tcW w:w="981"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姓名</w:t>
            </w:r>
          </w:p>
        </w:tc>
        <w:tc>
          <w:tcPr>
            <w:tcW w:w="437"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性别</w:t>
            </w:r>
          </w:p>
        </w:tc>
        <w:tc>
          <w:tcPr>
            <w:tcW w:w="1139"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身份证号</w:t>
            </w:r>
          </w:p>
        </w:tc>
        <w:tc>
          <w:tcPr>
            <w:tcW w:w="596"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学历</w:t>
            </w:r>
          </w:p>
        </w:tc>
        <w:tc>
          <w:tcPr>
            <w:tcW w:w="741"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从事专业</w:t>
            </w:r>
          </w:p>
        </w:tc>
        <w:tc>
          <w:tcPr>
            <w:tcW w:w="674"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注册专业</w:t>
            </w:r>
          </w:p>
        </w:tc>
        <w:tc>
          <w:tcPr>
            <w:tcW w:w="1183"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注册证号</w:t>
            </w:r>
          </w:p>
        </w:tc>
        <w:tc>
          <w:tcPr>
            <w:tcW w:w="676"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职称等级</w:t>
            </w:r>
          </w:p>
        </w:tc>
        <w:tc>
          <w:tcPr>
            <w:tcW w:w="1014"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社保</w:t>
            </w:r>
          </w:p>
          <w:p>
            <w:pPr>
              <w:adjustRightInd w:val="0"/>
              <w:snapToGrid w:val="0"/>
              <w:jc w:val="center"/>
              <w:rPr>
                <w:rFonts w:ascii="宋体" w:hAnsi="宋体"/>
                <w:kern w:val="0"/>
                <w:szCs w:val="22"/>
              </w:rPr>
            </w:pPr>
            <w:r>
              <w:rPr>
                <w:rFonts w:hint="eastAsia" w:ascii="宋体" w:hAnsi="宋体"/>
                <w:kern w:val="0"/>
                <w:szCs w:val="22"/>
              </w:rPr>
              <w:t>电脑号</w:t>
            </w:r>
          </w:p>
        </w:tc>
        <w:tc>
          <w:tcPr>
            <w:tcW w:w="1408"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在本项目中拟任的岗位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39" w:type="dxa"/>
            <w:shd w:val="clear" w:color="auto" w:fill="auto"/>
            <w:vAlign w:val="center"/>
          </w:tcPr>
          <w:p>
            <w:pPr>
              <w:adjustRightInd w:val="0"/>
              <w:snapToGrid w:val="0"/>
              <w:spacing w:line="360" w:lineRule="auto"/>
              <w:rPr>
                <w:rFonts w:ascii="宋体" w:hAnsi="宋体"/>
                <w:kern w:val="0"/>
                <w:szCs w:val="22"/>
              </w:rPr>
            </w:pPr>
          </w:p>
        </w:tc>
        <w:tc>
          <w:tcPr>
            <w:tcW w:w="981" w:type="dxa"/>
            <w:shd w:val="clear" w:color="auto" w:fill="auto"/>
            <w:vAlign w:val="center"/>
          </w:tcPr>
          <w:p>
            <w:pPr>
              <w:adjustRightInd w:val="0"/>
              <w:snapToGrid w:val="0"/>
              <w:spacing w:line="360" w:lineRule="auto"/>
              <w:rPr>
                <w:rFonts w:ascii="宋体" w:hAnsi="宋体"/>
                <w:kern w:val="0"/>
                <w:szCs w:val="22"/>
              </w:rPr>
            </w:pPr>
          </w:p>
        </w:tc>
        <w:tc>
          <w:tcPr>
            <w:tcW w:w="437" w:type="dxa"/>
            <w:shd w:val="clear" w:color="auto" w:fill="auto"/>
            <w:vAlign w:val="center"/>
          </w:tcPr>
          <w:p>
            <w:pPr>
              <w:adjustRightInd w:val="0"/>
              <w:snapToGrid w:val="0"/>
              <w:spacing w:line="360" w:lineRule="auto"/>
              <w:rPr>
                <w:rFonts w:ascii="宋体" w:hAnsi="宋体"/>
                <w:kern w:val="0"/>
                <w:szCs w:val="22"/>
              </w:rPr>
            </w:pPr>
          </w:p>
        </w:tc>
        <w:tc>
          <w:tcPr>
            <w:tcW w:w="1139" w:type="dxa"/>
            <w:shd w:val="clear" w:color="auto" w:fill="auto"/>
            <w:vAlign w:val="center"/>
          </w:tcPr>
          <w:p>
            <w:pPr>
              <w:adjustRightInd w:val="0"/>
              <w:snapToGrid w:val="0"/>
              <w:spacing w:line="360" w:lineRule="auto"/>
              <w:rPr>
                <w:rFonts w:ascii="宋体" w:hAnsi="宋体"/>
                <w:kern w:val="0"/>
                <w:szCs w:val="22"/>
              </w:rPr>
            </w:pPr>
          </w:p>
        </w:tc>
        <w:tc>
          <w:tcPr>
            <w:tcW w:w="596" w:type="dxa"/>
            <w:shd w:val="clear" w:color="auto" w:fill="auto"/>
            <w:vAlign w:val="center"/>
          </w:tcPr>
          <w:p>
            <w:pPr>
              <w:adjustRightInd w:val="0"/>
              <w:snapToGrid w:val="0"/>
              <w:spacing w:line="360" w:lineRule="auto"/>
              <w:rPr>
                <w:rFonts w:ascii="宋体" w:hAnsi="宋体"/>
                <w:kern w:val="0"/>
                <w:szCs w:val="22"/>
              </w:rPr>
            </w:pPr>
          </w:p>
        </w:tc>
        <w:tc>
          <w:tcPr>
            <w:tcW w:w="741" w:type="dxa"/>
            <w:shd w:val="clear" w:color="auto" w:fill="auto"/>
            <w:vAlign w:val="center"/>
          </w:tcPr>
          <w:p>
            <w:pPr>
              <w:adjustRightInd w:val="0"/>
              <w:snapToGrid w:val="0"/>
              <w:spacing w:line="360" w:lineRule="auto"/>
              <w:rPr>
                <w:rFonts w:ascii="宋体" w:hAnsi="宋体"/>
                <w:kern w:val="0"/>
                <w:szCs w:val="22"/>
              </w:rPr>
            </w:pPr>
          </w:p>
        </w:tc>
        <w:tc>
          <w:tcPr>
            <w:tcW w:w="674" w:type="dxa"/>
            <w:shd w:val="clear" w:color="auto" w:fill="auto"/>
            <w:vAlign w:val="center"/>
          </w:tcPr>
          <w:p>
            <w:pPr>
              <w:adjustRightInd w:val="0"/>
              <w:snapToGrid w:val="0"/>
              <w:spacing w:line="360" w:lineRule="auto"/>
              <w:rPr>
                <w:rFonts w:ascii="宋体" w:hAnsi="宋体"/>
                <w:kern w:val="0"/>
                <w:szCs w:val="22"/>
              </w:rPr>
            </w:pPr>
          </w:p>
        </w:tc>
        <w:tc>
          <w:tcPr>
            <w:tcW w:w="1183" w:type="dxa"/>
            <w:shd w:val="clear" w:color="auto" w:fill="auto"/>
            <w:vAlign w:val="center"/>
          </w:tcPr>
          <w:p>
            <w:pPr>
              <w:adjustRightInd w:val="0"/>
              <w:snapToGrid w:val="0"/>
              <w:spacing w:line="360" w:lineRule="auto"/>
              <w:jc w:val="left"/>
              <w:rPr>
                <w:rFonts w:ascii="宋体" w:hAnsi="宋体"/>
                <w:kern w:val="0"/>
                <w:szCs w:val="22"/>
              </w:rPr>
            </w:pPr>
          </w:p>
        </w:tc>
        <w:tc>
          <w:tcPr>
            <w:tcW w:w="676" w:type="dxa"/>
            <w:shd w:val="clear" w:color="auto" w:fill="auto"/>
            <w:vAlign w:val="center"/>
          </w:tcPr>
          <w:p>
            <w:pPr>
              <w:adjustRightInd w:val="0"/>
              <w:snapToGrid w:val="0"/>
              <w:spacing w:line="360" w:lineRule="auto"/>
              <w:jc w:val="left"/>
              <w:rPr>
                <w:rFonts w:ascii="宋体" w:hAnsi="宋体"/>
                <w:kern w:val="0"/>
                <w:szCs w:val="22"/>
              </w:rPr>
            </w:pPr>
          </w:p>
        </w:tc>
        <w:tc>
          <w:tcPr>
            <w:tcW w:w="1014" w:type="dxa"/>
            <w:shd w:val="clear" w:color="auto" w:fill="auto"/>
            <w:vAlign w:val="center"/>
          </w:tcPr>
          <w:p>
            <w:pPr>
              <w:adjustRightInd w:val="0"/>
              <w:snapToGrid w:val="0"/>
              <w:spacing w:line="360" w:lineRule="auto"/>
              <w:jc w:val="left"/>
              <w:rPr>
                <w:rFonts w:ascii="宋体" w:hAnsi="宋体"/>
                <w:kern w:val="0"/>
                <w:szCs w:val="22"/>
              </w:rPr>
            </w:pPr>
          </w:p>
        </w:tc>
        <w:tc>
          <w:tcPr>
            <w:tcW w:w="1408" w:type="dxa"/>
            <w:shd w:val="clear" w:color="auto" w:fill="auto"/>
            <w:vAlign w:val="center"/>
          </w:tcPr>
          <w:p>
            <w:pPr>
              <w:adjustRightInd w:val="0"/>
              <w:snapToGrid w:val="0"/>
              <w:spacing w:line="360" w:lineRule="auto"/>
              <w:jc w:val="left"/>
              <w:rPr>
                <w:rFonts w:ascii="宋体" w:hAnsi="宋体"/>
                <w:kern w:val="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39" w:type="dxa"/>
            <w:shd w:val="clear" w:color="auto" w:fill="auto"/>
            <w:vAlign w:val="center"/>
          </w:tcPr>
          <w:p>
            <w:pPr>
              <w:adjustRightInd w:val="0"/>
              <w:snapToGrid w:val="0"/>
              <w:spacing w:line="360" w:lineRule="auto"/>
              <w:rPr>
                <w:rFonts w:ascii="宋体" w:hAnsi="宋体"/>
                <w:kern w:val="0"/>
                <w:szCs w:val="22"/>
              </w:rPr>
            </w:pPr>
          </w:p>
        </w:tc>
        <w:tc>
          <w:tcPr>
            <w:tcW w:w="981" w:type="dxa"/>
            <w:shd w:val="clear" w:color="auto" w:fill="auto"/>
            <w:vAlign w:val="center"/>
          </w:tcPr>
          <w:p>
            <w:pPr>
              <w:adjustRightInd w:val="0"/>
              <w:snapToGrid w:val="0"/>
              <w:spacing w:line="360" w:lineRule="auto"/>
              <w:rPr>
                <w:rFonts w:ascii="宋体" w:hAnsi="宋体"/>
                <w:kern w:val="0"/>
                <w:szCs w:val="22"/>
              </w:rPr>
            </w:pPr>
          </w:p>
        </w:tc>
        <w:tc>
          <w:tcPr>
            <w:tcW w:w="437" w:type="dxa"/>
            <w:shd w:val="clear" w:color="auto" w:fill="auto"/>
            <w:vAlign w:val="center"/>
          </w:tcPr>
          <w:p>
            <w:pPr>
              <w:adjustRightInd w:val="0"/>
              <w:snapToGrid w:val="0"/>
              <w:spacing w:line="360" w:lineRule="auto"/>
              <w:rPr>
                <w:rFonts w:ascii="宋体" w:hAnsi="宋体"/>
                <w:kern w:val="0"/>
                <w:szCs w:val="22"/>
              </w:rPr>
            </w:pPr>
          </w:p>
        </w:tc>
        <w:tc>
          <w:tcPr>
            <w:tcW w:w="1139" w:type="dxa"/>
            <w:shd w:val="clear" w:color="auto" w:fill="auto"/>
            <w:vAlign w:val="center"/>
          </w:tcPr>
          <w:p>
            <w:pPr>
              <w:adjustRightInd w:val="0"/>
              <w:snapToGrid w:val="0"/>
              <w:spacing w:line="360" w:lineRule="auto"/>
              <w:rPr>
                <w:rFonts w:ascii="宋体" w:hAnsi="宋体"/>
                <w:kern w:val="0"/>
                <w:szCs w:val="22"/>
              </w:rPr>
            </w:pPr>
          </w:p>
        </w:tc>
        <w:tc>
          <w:tcPr>
            <w:tcW w:w="596" w:type="dxa"/>
            <w:shd w:val="clear" w:color="auto" w:fill="auto"/>
            <w:vAlign w:val="center"/>
          </w:tcPr>
          <w:p>
            <w:pPr>
              <w:adjustRightInd w:val="0"/>
              <w:snapToGrid w:val="0"/>
              <w:spacing w:line="360" w:lineRule="auto"/>
              <w:rPr>
                <w:rFonts w:ascii="宋体" w:hAnsi="宋体"/>
                <w:kern w:val="0"/>
                <w:szCs w:val="22"/>
              </w:rPr>
            </w:pPr>
          </w:p>
        </w:tc>
        <w:tc>
          <w:tcPr>
            <w:tcW w:w="741" w:type="dxa"/>
            <w:shd w:val="clear" w:color="auto" w:fill="auto"/>
            <w:vAlign w:val="center"/>
          </w:tcPr>
          <w:p>
            <w:pPr>
              <w:adjustRightInd w:val="0"/>
              <w:snapToGrid w:val="0"/>
              <w:spacing w:line="360" w:lineRule="auto"/>
              <w:rPr>
                <w:rFonts w:ascii="宋体" w:hAnsi="宋体"/>
                <w:kern w:val="0"/>
                <w:szCs w:val="22"/>
              </w:rPr>
            </w:pPr>
          </w:p>
        </w:tc>
        <w:tc>
          <w:tcPr>
            <w:tcW w:w="674" w:type="dxa"/>
            <w:shd w:val="clear" w:color="auto" w:fill="auto"/>
            <w:vAlign w:val="center"/>
          </w:tcPr>
          <w:p>
            <w:pPr>
              <w:adjustRightInd w:val="0"/>
              <w:snapToGrid w:val="0"/>
              <w:spacing w:line="360" w:lineRule="auto"/>
              <w:rPr>
                <w:rFonts w:ascii="宋体" w:hAnsi="宋体"/>
                <w:kern w:val="0"/>
                <w:szCs w:val="22"/>
              </w:rPr>
            </w:pPr>
          </w:p>
        </w:tc>
        <w:tc>
          <w:tcPr>
            <w:tcW w:w="1183" w:type="dxa"/>
            <w:shd w:val="clear" w:color="auto" w:fill="auto"/>
            <w:vAlign w:val="center"/>
          </w:tcPr>
          <w:p>
            <w:pPr>
              <w:adjustRightInd w:val="0"/>
              <w:snapToGrid w:val="0"/>
              <w:spacing w:line="360" w:lineRule="auto"/>
              <w:jc w:val="left"/>
              <w:rPr>
                <w:rFonts w:ascii="宋体" w:hAnsi="宋体"/>
                <w:kern w:val="0"/>
                <w:szCs w:val="22"/>
              </w:rPr>
            </w:pPr>
          </w:p>
        </w:tc>
        <w:tc>
          <w:tcPr>
            <w:tcW w:w="676" w:type="dxa"/>
            <w:shd w:val="clear" w:color="auto" w:fill="auto"/>
            <w:vAlign w:val="center"/>
          </w:tcPr>
          <w:p>
            <w:pPr>
              <w:adjustRightInd w:val="0"/>
              <w:snapToGrid w:val="0"/>
              <w:spacing w:line="360" w:lineRule="auto"/>
              <w:jc w:val="left"/>
              <w:rPr>
                <w:rFonts w:ascii="宋体" w:hAnsi="宋体"/>
                <w:kern w:val="0"/>
                <w:szCs w:val="22"/>
              </w:rPr>
            </w:pPr>
          </w:p>
        </w:tc>
        <w:tc>
          <w:tcPr>
            <w:tcW w:w="1014" w:type="dxa"/>
            <w:shd w:val="clear" w:color="auto" w:fill="auto"/>
            <w:vAlign w:val="center"/>
          </w:tcPr>
          <w:p>
            <w:pPr>
              <w:adjustRightInd w:val="0"/>
              <w:snapToGrid w:val="0"/>
              <w:spacing w:line="360" w:lineRule="auto"/>
              <w:jc w:val="left"/>
              <w:rPr>
                <w:rFonts w:ascii="宋体" w:hAnsi="宋体"/>
                <w:kern w:val="0"/>
                <w:szCs w:val="22"/>
              </w:rPr>
            </w:pPr>
          </w:p>
        </w:tc>
        <w:tc>
          <w:tcPr>
            <w:tcW w:w="1408" w:type="dxa"/>
            <w:shd w:val="clear" w:color="auto" w:fill="auto"/>
            <w:vAlign w:val="center"/>
          </w:tcPr>
          <w:p>
            <w:pPr>
              <w:adjustRightInd w:val="0"/>
              <w:snapToGrid w:val="0"/>
              <w:spacing w:line="360" w:lineRule="auto"/>
              <w:jc w:val="left"/>
              <w:rPr>
                <w:rFonts w:ascii="宋体" w:hAnsi="宋体"/>
                <w:kern w:val="0"/>
                <w:szCs w:val="22"/>
              </w:rPr>
            </w:pPr>
          </w:p>
        </w:tc>
      </w:tr>
    </w:tbl>
    <w:p>
      <w:pPr>
        <w:adjustRightInd w:val="0"/>
        <w:snapToGrid w:val="0"/>
        <w:spacing w:line="360" w:lineRule="auto"/>
        <w:jc w:val="left"/>
        <w:rPr>
          <w:rFonts w:ascii="宋体" w:hAnsi="宋体"/>
          <w:kern w:val="0"/>
          <w:sz w:val="22"/>
          <w:szCs w:val="22"/>
        </w:rPr>
      </w:pPr>
    </w:p>
    <w:p>
      <w:pPr>
        <w:adjustRightInd w:val="0"/>
        <w:snapToGrid w:val="0"/>
        <w:spacing w:line="360" w:lineRule="auto"/>
        <w:jc w:val="left"/>
        <w:rPr>
          <w:rFonts w:ascii="宋体" w:hAnsi="宋体"/>
          <w:b/>
          <w:kern w:val="0"/>
          <w:sz w:val="22"/>
          <w:szCs w:val="22"/>
        </w:rPr>
      </w:pPr>
      <w:r>
        <w:rPr>
          <w:rFonts w:hint="eastAsia" w:ascii="宋体" w:hAnsi="宋体"/>
          <w:b/>
          <w:kern w:val="0"/>
          <w:sz w:val="22"/>
          <w:szCs w:val="22"/>
        </w:rPr>
        <w:t>二、非注册人员</w:t>
      </w:r>
    </w:p>
    <w:tbl>
      <w:tblPr>
        <w:tblStyle w:val="25"/>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
        <w:gridCol w:w="985"/>
        <w:gridCol w:w="437"/>
        <w:gridCol w:w="1302"/>
        <w:gridCol w:w="442"/>
        <w:gridCol w:w="918"/>
        <w:gridCol w:w="851"/>
        <w:gridCol w:w="1362"/>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41"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序号</w:t>
            </w:r>
          </w:p>
        </w:tc>
        <w:tc>
          <w:tcPr>
            <w:tcW w:w="985"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姓名</w:t>
            </w:r>
          </w:p>
        </w:tc>
        <w:tc>
          <w:tcPr>
            <w:tcW w:w="437"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性别</w:t>
            </w:r>
          </w:p>
        </w:tc>
        <w:tc>
          <w:tcPr>
            <w:tcW w:w="1302"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身份证号</w:t>
            </w:r>
          </w:p>
        </w:tc>
        <w:tc>
          <w:tcPr>
            <w:tcW w:w="442"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学历</w:t>
            </w:r>
          </w:p>
        </w:tc>
        <w:tc>
          <w:tcPr>
            <w:tcW w:w="918"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从事</w:t>
            </w:r>
          </w:p>
          <w:p>
            <w:pPr>
              <w:adjustRightInd w:val="0"/>
              <w:snapToGrid w:val="0"/>
              <w:jc w:val="center"/>
              <w:rPr>
                <w:rFonts w:ascii="宋体" w:hAnsi="宋体"/>
                <w:kern w:val="0"/>
                <w:szCs w:val="22"/>
              </w:rPr>
            </w:pPr>
            <w:r>
              <w:rPr>
                <w:rFonts w:hint="eastAsia" w:ascii="宋体" w:hAnsi="宋体"/>
                <w:kern w:val="0"/>
                <w:szCs w:val="22"/>
              </w:rPr>
              <w:t>专业</w:t>
            </w:r>
          </w:p>
        </w:tc>
        <w:tc>
          <w:tcPr>
            <w:tcW w:w="851"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职称</w:t>
            </w:r>
          </w:p>
          <w:p>
            <w:pPr>
              <w:adjustRightInd w:val="0"/>
              <w:snapToGrid w:val="0"/>
              <w:jc w:val="center"/>
              <w:rPr>
                <w:rFonts w:ascii="宋体" w:hAnsi="宋体"/>
                <w:kern w:val="0"/>
                <w:szCs w:val="22"/>
              </w:rPr>
            </w:pPr>
            <w:r>
              <w:rPr>
                <w:rFonts w:hint="eastAsia" w:ascii="宋体" w:hAnsi="宋体"/>
                <w:kern w:val="0"/>
                <w:szCs w:val="22"/>
              </w:rPr>
              <w:t>等级</w:t>
            </w:r>
          </w:p>
        </w:tc>
        <w:tc>
          <w:tcPr>
            <w:tcW w:w="1362"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社保电脑号</w:t>
            </w:r>
          </w:p>
        </w:tc>
        <w:tc>
          <w:tcPr>
            <w:tcW w:w="2550"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在本项目中拟任的岗位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41" w:type="dxa"/>
            <w:shd w:val="clear" w:color="auto" w:fill="auto"/>
            <w:vAlign w:val="center"/>
          </w:tcPr>
          <w:p>
            <w:pPr>
              <w:adjustRightInd w:val="0"/>
              <w:snapToGrid w:val="0"/>
              <w:spacing w:line="360" w:lineRule="auto"/>
              <w:rPr>
                <w:rFonts w:ascii="宋体" w:hAnsi="宋体"/>
                <w:kern w:val="0"/>
                <w:szCs w:val="22"/>
              </w:rPr>
            </w:pPr>
          </w:p>
        </w:tc>
        <w:tc>
          <w:tcPr>
            <w:tcW w:w="985" w:type="dxa"/>
            <w:shd w:val="clear" w:color="auto" w:fill="auto"/>
            <w:vAlign w:val="center"/>
          </w:tcPr>
          <w:p>
            <w:pPr>
              <w:adjustRightInd w:val="0"/>
              <w:snapToGrid w:val="0"/>
              <w:spacing w:line="360" w:lineRule="auto"/>
              <w:rPr>
                <w:rFonts w:ascii="宋体" w:hAnsi="宋体"/>
                <w:kern w:val="0"/>
                <w:szCs w:val="22"/>
              </w:rPr>
            </w:pPr>
          </w:p>
        </w:tc>
        <w:tc>
          <w:tcPr>
            <w:tcW w:w="437" w:type="dxa"/>
            <w:shd w:val="clear" w:color="auto" w:fill="auto"/>
            <w:vAlign w:val="center"/>
          </w:tcPr>
          <w:p>
            <w:pPr>
              <w:adjustRightInd w:val="0"/>
              <w:snapToGrid w:val="0"/>
              <w:spacing w:line="360" w:lineRule="auto"/>
              <w:rPr>
                <w:rFonts w:ascii="宋体" w:hAnsi="宋体"/>
                <w:kern w:val="0"/>
                <w:szCs w:val="22"/>
              </w:rPr>
            </w:pPr>
          </w:p>
        </w:tc>
        <w:tc>
          <w:tcPr>
            <w:tcW w:w="1302" w:type="dxa"/>
            <w:shd w:val="clear" w:color="auto" w:fill="auto"/>
            <w:vAlign w:val="center"/>
          </w:tcPr>
          <w:p>
            <w:pPr>
              <w:adjustRightInd w:val="0"/>
              <w:snapToGrid w:val="0"/>
              <w:spacing w:line="360" w:lineRule="auto"/>
              <w:rPr>
                <w:rFonts w:ascii="宋体" w:hAnsi="宋体"/>
                <w:kern w:val="0"/>
                <w:szCs w:val="22"/>
              </w:rPr>
            </w:pPr>
          </w:p>
        </w:tc>
        <w:tc>
          <w:tcPr>
            <w:tcW w:w="442" w:type="dxa"/>
            <w:shd w:val="clear" w:color="auto" w:fill="auto"/>
            <w:vAlign w:val="center"/>
          </w:tcPr>
          <w:p>
            <w:pPr>
              <w:adjustRightInd w:val="0"/>
              <w:snapToGrid w:val="0"/>
              <w:spacing w:line="360" w:lineRule="auto"/>
              <w:rPr>
                <w:rFonts w:ascii="宋体" w:hAnsi="宋体"/>
                <w:kern w:val="0"/>
                <w:szCs w:val="22"/>
              </w:rPr>
            </w:pPr>
          </w:p>
        </w:tc>
        <w:tc>
          <w:tcPr>
            <w:tcW w:w="918" w:type="dxa"/>
            <w:shd w:val="clear" w:color="auto" w:fill="auto"/>
            <w:vAlign w:val="center"/>
          </w:tcPr>
          <w:p>
            <w:pPr>
              <w:adjustRightInd w:val="0"/>
              <w:snapToGrid w:val="0"/>
              <w:spacing w:line="360" w:lineRule="auto"/>
              <w:jc w:val="left"/>
              <w:rPr>
                <w:rFonts w:ascii="宋体" w:hAnsi="宋体"/>
                <w:kern w:val="0"/>
                <w:szCs w:val="22"/>
              </w:rPr>
            </w:pPr>
          </w:p>
        </w:tc>
        <w:tc>
          <w:tcPr>
            <w:tcW w:w="851" w:type="dxa"/>
            <w:shd w:val="clear" w:color="auto" w:fill="auto"/>
            <w:vAlign w:val="center"/>
          </w:tcPr>
          <w:p>
            <w:pPr>
              <w:adjustRightInd w:val="0"/>
              <w:snapToGrid w:val="0"/>
              <w:spacing w:line="360" w:lineRule="auto"/>
              <w:jc w:val="left"/>
              <w:rPr>
                <w:rFonts w:ascii="宋体" w:hAnsi="宋体"/>
                <w:kern w:val="0"/>
                <w:szCs w:val="22"/>
              </w:rPr>
            </w:pPr>
          </w:p>
        </w:tc>
        <w:tc>
          <w:tcPr>
            <w:tcW w:w="1362" w:type="dxa"/>
            <w:shd w:val="clear" w:color="auto" w:fill="auto"/>
            <w:vAlign w:val="center"/>
          </w:tcPr>
          <w:p>
            <w:pPr>
              <w:adjustRightInd w:val="0"/>
              <w:snapToGrid w:val="0"/>
              <w:spacing w:line="360" w:lineRule="auto"/>
              <w:jc w:val="left"/>
              <w:rPr>
                <w:rFonts w:ascii="宋体" w:hAnsi="宋体"/>
                <w:kern w:val="0"/>
                <w:szCs w:val="22"/>
              </w:rPr>
            </w:pPr>
          </w:p>
        </w:tc>
        <w:tc>
          <w:tcPr>
            <w:tcW w:w="2550" w:type="dxa"/>
            <w:shd w:val="clear" w:color="auto" w:fill="auto"/>
            <w:vAlign w:val="center"/>
          </w:tcPr>
          <w:p>
            <w:pPr>
              <w:adjustRightInd w:val="0"/>
              <w:snapToGrid w:val="0"/>
              <w:spacing w:line="360" w:lineRule="auto"/>
              <w:jc w:val="left"/>
              <w:rPr>
                <w:rFonts w:ascii="宋体" w:hAnsi="宋体"/>
                <w:kern w:val="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41" w:type="dxa"/>
            <w:shd w:val="clear" w:color="auto" w:fill="auto"/>
            <w:vAlign w:val="center"/>
          </w:tcPr>
          <w:p>
            <w:pPr>
              <w:adjustRightInd w:val="0"/>
              <w:snapToGrid w:val="0"/>
              <w:spacing w:line="360" w:lineRule="auto"/>
              <w:rPr>
                <w:rFonts w:ascii="宋体" w:hAnsi="宋体"/>
                <w:kern w:val="0"/>
                <w:szCs w:val="22"/>
              </w:rPr>
            </w:pPr>
          </w:p>
        </w:tc>
        <w:tc>
          <w:tcPr>
            <w:tcW w:w="985" w:type="dxa"/>
            <w:shd w:val="clear" w:color="auto" w:fill="auto"/>
            <w:vAlign w:val="center"/>
          </w:tcPr>
          <w:p>
            <w:pPr>
              <w:adjustRightInd w:val="0"/>
              <w:snapToGrid w:val="0"/>
              <w:spacing w:line="360" w:lineRule="auto"/>
              <w:rPr>
                <w:rFonts w:ascii="宋体" w:hAnsi="宋体"/>
                <w:kern w:val="0"/>
                <w:szCs w:val="22"/>
              </w:rPr>
            </w:pPr>
          </w:p>
        </w:tc>
        <w:tc>
          <w:tcPr>
            <w:tcW w:w="437" w:type="dxa"/>
            <w:shd w:val="clear" w:color="auto" w:fill="auto"/>
            <w:vAlign w:val="center"/>
          </w:tcPr>
          <w:p>
            <w:pPr>
              <w:adjustRightInd w:val="0"/>
              <w:snapToGrid w:val="0"/>
              <w:spacing w:line="360" w:lineRule="auto"/>
              <w:rPr>
                <w:rFonts w:ascii="宋体" w:hAnsi="宋体"/>
                <w:kern w:val="0"/>
                <w:szCs w:val="22"/>
              </w:rPr>
            </w:pPr>
          </w:p>
        </w:tc>
        <w:tc>
          <w:tcPr>
            <w:tcW w:w="1302" w:type="dxa"/>
            <w:shd w:val="clear" w:color="auto" w:fill="auto"/>
            <w:vAlign w:val="center"/>
          </w:tcPr>
          <w:p>
            <w:pPr>
              <w:adjustRightInd w:val="0"/>
              <w:snapToGrid w:val="0"/>
              <w:spacing w:line="360" w:lineRule="auto"/>
              <w:rPr>
                <w:rFonts w:ascii="宋体" w:hAnsi="宋体"/>
                <w:kern w:val="0"/>
                <w:szCs w:val="22"/>
              </w:rPr>
            </w:pPr>
          </w:p>
        </w:tc>
        <w:tc>
          <w:tcPr>
            <w:tcW w:w="442" w:type="dxa"/>
            <w:shd w:val="clear" w:color="auto" w:fill="auto"/>
            <w:vAlign w:val="center"/>
          </w:tcPr>
          <w:p>
            <w:pPr>
              <w:adjustRightInd w:val="0"/>
              <w:snapToGrid w:val="0"/>
              <w:spacing w:line="360" w:lineRule="auto"/>
              <w:rPr>
                <w:rFonts w:ascii="宋体" w:hAnsi="宋体"/>
                <w:kern w:val="0"/>
                <w:szCs w:val="22"/>
              </w:rPr>
            </w:pPr>
          </w:p>
        </w:tc>
        <w:tc>
          <w:tcPr>
            <w:tcW w:w="918" w:type="dxa"/>
            <w:shd w:val="clear" w:color="auto" w:fill="auto"/>
            <w:vAlign w:val="center"/>
          </w:tcPr>
          <w:p>
            <w:pPr>
              <w:adjustRightInd w:val="0"/>
              <w:snapToGrid w:val="0"/>
              <w:spacing w:line="360" w:lineRule="auto"/>
              <w:jc w:val="left"/>
              <w:rPr>
                <w:rFonts w:ascii="宋体" w:hAnsi="宋体"/>
                <w:kern w:val="0"/>
                <w:szCs w:val="22"/>
              </w:rPr>
            </w:pPr>
          </w:p>
        </w:tc>
        <w:tc>
          <w:tcPr>
            <w:tcW w:w="851" w:type="dxa"/>
            <w:shd w:val="clear" w:color="auto" w:fill="auto"/>
            <w:vAlign w:val="center"/>
          </w:tcPr>
          <w:p>
            <w:pPr>
              <w:adjustRightInd w:val="0"/>
              <w:snapToGrid w:val="0"/>
              <w:spacing w:line="360" w:lineRule="auto"/>
              <w:jc w:val="left"/>
              <w:rPr>
                <w:rFonts w:ascii="宋体" w:hAnsi="宋体"/>
                <w:kern w:val="0"/>
                <w:szCs w:val="22"/>
              </w:rPr>
            </w:pPr>
          </w:p>
        </w:tc>
        <w:tc>
          <w:tcPr>
            <w:tcW w:w="1362" w:type="dxa"/>
            <w:shd w:val="clear" w:color="auto" w:fill="auto"/>
            <w:vAlign w:val="center"/>
          </w:tcPr>
          <w:p>
            <w:pPr>
              <w:adjustRightInd w:val="0"/>
              <w:snapToGrid w:val="0"/>
              <w:spacing w:line="360" w:lineRule="auto"/>
              <w:jc w:val="left"/>
              <w:rPr>
                <w:rFonts w:ascii="宋体" w:hAnsi="宋体"/>
                <w:kern w:val="0"/>
                <w:szCs w:val="22"/>
              </w:rPr>
            </w:pPr>
          </w:p>
        </w:tc>
        <w:tc>
          <w:tcPr>
            <w:tcW w:w="2550" w:type="dxa"/>
            <w:shd w:val="clear" w:color="auto" w:fill="auto"/>
            <w:vAlign w:val="center"/>
          </w:tcPr>
          <w:p>
            <w:pPr>
              <w:adjustRightInd w:val="0"/>
              <w:snapToGrid w:val="0"/>
              <w:spacing w:line="360" w:lineRule="auto"/>
              <w:jc w:val="left"/>
              <w:rPr>
                <w:rFonts w:ascii="宋体" w:hAnsi="宋体"/>
                <w:kern w:val="0"/>
                <w:szCs w:val="22"/>
              </w:rPr>
            </w:pPr>
          </w:p>
        </w:tc>
      </w:tr>
    </w:tbl>
    <w:p>
      <w:pPr>
        <w:adjustRightInd w:val="0"/>
        <w:snapToGrid w:val="0"/>
        <w:spacing w:line="360" w:lineRule="auto"/>
        <w:jc w:val="left"/>
        <w:rPr>
          <w:rFonts w:ascii="宋体" w:hAnsi="宋体"/>
          <w:b/>
          <w:kern w:val="0"/>
          <w:sz w:val="22"/>
          <w:szCs w:val="22"/>
        </w:rPr>
      </w:pPr>
    </w:p>
    <w:p>
      <w:pPr>
        <w:adjustRightInd w:val="0"/>
        <w:snapToGrid w:val="0"/>
        <w:spacing w:line="360" w:lineRule="auto"/>
        <w:jc w:val="left"/>
        <w:rPr>
          <w:rFonts w:ascii="宋体" w:hAnsi="宋体"/>
          <w:b/>
          <w:kern w:val="0"/>
          <w:sz w:val="22"/>
          <w:szCs w:val="22"/>
        </w:rPr>
      </w:pPr>
      <w:r>
        <w:rPr>
          <w:rFonts w:hint="eastAsia" w:ascii="宋体" w:hAnsi="宋体"/>
          <w:b/>
          <w:kern w:val="0"/>
          <w:sz w:val="22"/>
          <w:szCs w:val="22"/>
        </w:rPr>
        <w:t>三、技术工人</w:t>
      </w:r>
    </w:p>
    <w:tbl>
      <w:tblPr>
        <w:tblStyle w:val="25"/>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985"/>
        <w:gridCol w:w="437"/>
        <w:gridCol w:w="1302"/>
        <w:gridCol w:w="851"/>
        <w:gridCol w:w="1702"/>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39"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序号</w:t>
            </w:r>
          </w:p>
        </w:tc>
        <w:tc>
          <w:tcPr>
            <w:tcW w:w="985"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姓名</w:t>
            </w:r>
          </w:p>
        </w:tc>
        <w:tc>
          <w:tcPr>
            <w:tcW w:w="437"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性别</w:t>
            </w:r>
          </w:p>
        </w:tc>
        <w:tc>
          <w:tcPr>
            <w:tcW w:w="1302"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身份证号</w:t>
            </w:r>
          </w:p>
        </w:tc>
        <w:tc>
          <w:tcPr>
            <w:tcW w:w="851"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专业</w:t>
            </w:r>
          </w:p>
        </w:tc>
        <w:tc>
          <w:tcPr>
            <w:tcW w:w="1702"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社保电脑号</w:t>
            </w:r>
          </w:p>
        </w:tc>
        <w:tc>
          <w:tcPr>
            <w:tcW w:w="3572"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在本项目中拟任的岗位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39" w:type="dxa"/>
            <w:shd w:val="clear" w:color="auto" w:fill="auto"/>
            <w:vAlign w:val="center"/>
          </w:tcPr>
          <w:p>
            <w:pPr>
              <w:adjustRightInd w:val="0"/>
              <w:snapToGrid w:val="0"/>
              <w:spacing w:line="360" w:lineRule="auto"/>
              <w:rPr>
                <w:rFonts w:ascii="宋体" w:hAnsi="宋体"/>
                <w:kern w:val="0"/>
                <w:szCs w:val="22"/>
              </w:rPr>
            </w:pPr>
          </w:p>
        </w:tc>
        <w:tc>
          <w:tcPr>
            <w:tcW w:w="985" w:type="dxa"/>
            <w:shd w:val="clear" w:color="auto" w:fill="auto"/>
            <w:vAlign w:val="center"/>
          </w:tcPr>
          <w:p>
            <w:pPr>
              <w:adjustRightInd w:val="0"/>
              <w:snapToGrid w:val="0"/>
              <w:spacing w:line="360" w:lineRule="auto"/>
              <w:rPr>
                <w:rFonts w:ascii="宋体" w:hAnsi="宋体"/>
                <w:kern w:val="0"/>
                <w:szCs w:val="22"/>
              </w:rPr>
            </w:pPr>
          </w:p>
        </w:tc>
        <w:tc>
          <w:tcPr>
            <w:tcW w:w="437" w:type="dxa"/>
            <w:shd w:val="clear" w:color="auto" w:fill="auto"/>
            <w:vAlign w:val="center"/>
          </w:tcPr>
          <w:p>
            <w:pPr>
              <w:adjustRightInd w:val="0"/>
              <w:snapToGrid w:val="0"/>
              <w:spacing w:line="360" w:lineRule="auto"/>
              <w:rPr>
                <w:rFonts w:ascii="宋体" w:hAnsi="宋体"/>
                <w:kern w:val="0"/>
                <w:szCs w:val="22"/>
              </w:rPr>
            </w:pPr>
          </w:p>
        </w:tc>
        <w:tc>
          <w:tcPr>
            <w:tcW w:w="1302" w:type="dxa"/>
            <w:shd w:val="clear" w:color="auto" w:fill="auto"/>
            <w:vAlign w:val="center"/>
          </w:tcPr>
          <w:p>
            <w:pPr>
              <w:adjustRightInd w:val="0"/>
              <w:snapToGrid w:val="0"/>
              <w:spacing w:line="360" w:lineRule="auto"/>
              <w:jc w:val="left"/>
              <w:rPr>
                <w:rFonts w:ascii="宋体" w:hAnsi="宋体"/>
                <w:kern w:val="0"/>
                <w:szCs w:val="22"/>
              </w:rPr>
            </w:pPr>
          </w:p>
        </w:tc>
        <w:tc>
          <w:tcPr>
            <w:tcW w:w="851" w:type="dxa"/>
            <w:shd w:val="clear" w:color="auto" w:fill="auto"/>
            <w:vAlign w:val="center"/>
          </w:tcPr>
          <w:p>
            <w:pPr>
              <w:adjustRightInd w:val="0"/>
              <w:snapToGrid w:val="0"/>
              <w:spacing w:line="360" w:lineRule="auto"/>
              <w:jc w:val="left"/>
              <w:rPr>
                <w:rFonts w:ascii="宋体" w:hAnsi="宋体"/>
                <w:kern w:val="0"/>
                <w:szCs w:val="22"/>
              </w:rPr>
            </w:pPr>
          </w:p>
        </w:tc>
        <w:tc>
          <w:tcPr>
            <w:tcW w:w="1702" w:type="dxa"/>
            <w:shd w:val="clear" w:color="auto" w:fill="auto"/>
            <w:vAlign w:val="center"/>
          </w:tcPr>
          <w:p>
            <w:pPr>
              <w:adjustRightInd w:val="0"/>
              <w:snapToGrid w:val="0"/>
              <w:spacing w:line="360" w:lineRule="auto"/>
              <w:jc w:val="left"/>
              <w:rPr>
                <w:rFonts w:ascii="宋体" w:hAnsi="宋体"/>
                <w:kern w:val="0"/>
                <w:szCs w:val="22"/>
              </w:rPr>
            </w:pPr>
          </w:p>
        </w:tc>
        <w:tc>
          <w:tcPr>
            <w:tcW w:w="3572" w:type="dxa"/>
            <w:shd w:val="clear" w:color="auto" w:fill="auto"/>
            <w:vAlign w:val="center"/>
          </w:tcPr>
          <w:p>
            <w:pPr>
              <w:adjustRightInd w:val="0"/>
              <w:snapToGrid w:val="0"/>
              <w:spacing w:line="360" w:lineRule="auto"/>
              <w:jc w:val="left"/>
              <w:rPr>
                <w:rFonts w:ascii="宋体" w:hAnsi="宋体"/>
                <w:kern w:val="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39" w:type="dxa"/>
            <w:shd w:val="clear" w:color="auto" w:fill="auto"/>
            <w:vAlign w:val="center"/>
          </w:tcPr>
          <w:p>
            <w:pPr>
              <w:adjustRightInd w:val="0"/>
              <w:snapToGrid w:val="0"/>
              <w:spacing w:line="360" w:lineRule="auto"/>
              <w:rPr>
                <w:rFonts w:ascii="宋体" w:hAnsi="宋体"/>
                <w:kern w:val="0"/>
                <w:szCs w:val="22"/>
              </w:rPr>
            </w:pPr>
          </w:p>
        </w:tc>
        <w:tc>
          <w:tcPr>
            <w:tcW w:w="985" w:type="dxa"/>
            <w:shd w:val="clear" w:color="auto" w:fill="auto"/>
            <w:vAlign w:val="center"/>
          </w:tcPr>
          <w:p>
            <w:pPr>
              <w:adjustRightInd w:val="0"/>
              <w:snapToGrid w:val="0"/>
              <w:spacing w:line="360" w:lineRule="auto"/>
              <w:rPr>
                <w:rFonts w:ascii="宋体" w:hAnsi="宋体"/>
                <w:kern w:val="0"/>
                <w:szCs w:val="22"/>
              </w:rPr>
            </w:pPr>
          </w:p>
        </w:tc>
        <w:tc>
          <w:tcPr>
            <w:tcW w:w="437" w:type="dxa"/>
            <w:shd w:val="clear" w:color="auto" w:fill="auto"/>
            <w:vAlign w:val="center"/>
          </w:tcPr>
          <w:p>
            <w:pPr>
              <w:adjustRightInd w:val="0"/>
              <w:snapToGrid w:val="0"/>
              <w:spacing w:line="360" w:lineRule="auto"/>
              <w:rPr>
                <w:rFonts w:ascii="宋体" w:hAnsi="宋体"/>
                <w:kern w:val="0"/>
                <w:szCs w:val="22"/>
              </w:rPr>
            </w:pPr>
          </w:p>
        </w:tc>
        <w:tc>
          <w:tcPr>
            <w:tcW w:w="1302" w:type="dxa"/>
            <w:shd w:val="clear" w:color="auto" w:fill="auto"/>
            <w:vAlign w:val="center"/>
          </w:tcPr>
          <w:p>
            <w:pPr>
              <w:adjustRightInd w:val="0"/>
              <w:snapToGrid w:val="0"/>
              <w:spacing w:line="360" w:lineRule="auto"/>
              <w:jc w:val="left"/>
              <w:rPr>
                <w:rFonts w:ascii="宋体" w:hAnsi="宋体"/>
                <w:kern w:val="0"/>
                <w:szCs w:val="22"/>
              </w:rPr>
            </w:pPr>
          </w:p>
        </w:tc>
        <w:tc>
          <w:tcPr>
            <w:tcW w:w="851" w:type="dxa"/>
            <w:shd w:val="clear" w:color="auto" w:fill="auto"/>
            <w:vAlign w:val="center"/>
          </w:tcPr>
          <w:p>
            <w:pPr>
              <w:adjustRightInd w:val="0"/>
              <w:snapToGrid w:val="0"/>
              <w:spacing w:line="360" w:lineRule="auto"/>
              <w:jc w:val="left"/>
              <w:rPr>
                <w:rFonts w:ascii="宋体" w:hAnsi="宋体"/>
                <w:kern w:val="0"/>
                <w:szCs w:val="22"/>
              </w:rPr>
            </w:pPr>
          </w:p>
        </w:tc>
        <w:tc>
          <w:tcPr>
            <w:tcW w:w="1702" w:type="dxa"/>
            <w:shd w:val="clear" w:color="auto" w:fill="auto"/>
            <w:vAlign w:val="center"/>
          </w:tcPr>
          <w:p>
            <w:pPr>
              <w:adjustRightInd w:val="0"/>
              <w:snapToGrid w:val="0"/>
              <w:spacing w:line="360" w:lineRule="auto"/>
              <w:jc w:val="left"/>
              <w:rPr>
                <w:rFonts w:ascii="宋体" w:hAnsi="宋体"/>
                <w:kern w:val="0"/>
                <w:szCs w:val="22"/>
              </w:rPr>
            </w:pPr>
          </w:p>
        </w:tc>
        <w:tc>
          <w:tcPr>
            <w:tcW w:w="3572" w:type="dxa"/>
            <w:shd w:val="clear" w:color="auto" w:fill="auto"/>
            <w:vAlign w:val="center"/>
          </w:tcPr>
          <w:p>
            <w:pPr>
              <w:adjustRightInd w:val="0"/>
              <w:snapToGrid w:val="0"/>
              <w:spacing w:line="360" w:lineRule="auto"/>
              <w:jc w:val="left"/>
              <w:rPr>
                <w:rFonts w:ascii="宋体" w:hAnsi="宋体"/>
                <w:kern w:val="0"/>
                <w:szCs w:val="22"/>
              </w:rPr>
            </w:pPr>
          </w:p>
        </w:tc>
      </w:tr>
    </w:tbl>
    <w:p>
      <w:pPr>
        <w:adjustRightInd w:val="0"/>
        <w:snapToGrid w:val="0"/>
        <w:spacing w:line="360" w:lineRule="auto"/>
        <w:jc w:val="left"/>
        <w:rPr>
          <w:rFonts w:ascii="宋体" w:hAnsi="宋体"/>
          <w:b/>
          <w:kern w:val="0"/>
          <w:sz w:val="22"/>
          <w:szCs w:val="22"/>
        </w:rPr>
      </w:pPr>
    </w:p>
    <w:p>
      <w:pPr>
        <w:adjustRightInd w:val="0"/>
        <w:snapToGrid w:val="0"/>
        <w:spacing w:line="360" w:lineRule="auto"/>
        <w:jc w:val="left"/>
        <w:rPr>
          <w:rFonts w:ascii="宋体" w:hAnsi="宋体"/>
          <w:b/>
          <w:kern w:val="0"/>
          <w:sz w:val="22"/>
          <w:szCs w:val="22"/>
        </w:rPr>
      </w:pPr>
      <w:r>
        <w:rPr>
          <w:rFonts w:hint="eastAsia" w:ascii="宋体" w:hAnsi="宋体"/>
          <w:b/>
          <w:kern w:val="0"/>
          <w:sz w:val="22"/>
          <w:szCs w:val="22"/>
        </w:rPr>
        <w:t>四、土工试验人员</w:t>
      </w:r>
    </w:p>
    <w:tbl>
      <w:tblPr>
        <w:tblStyle w:val="25"/>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
        <w:gridCol w:w="986"/>
        <w:gridCol w:w="1395"/>
        <w:gridCol w:w="784"/>
        <w:gridCol w:w="918"/>
        <w:gridCol w:w="851"/>
        <w:gridCol w:w="680"/>
        <w:gridCol w:w="1020"/>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43"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序号</w:t>
            </w:r>
          </w:p>
        </w:tc>
        <w:tc>
          <w:tcPr>
            <w:tcW w:w="986"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姓名</w:t>
            </w:r>
          </w:p>
        </w:tc>
        <w:tc>
          <w:tcPr>
            <w:tcW w:w="1395"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身份证号</w:t>
            </w:r>
          </w:p>
        </w:tc>
        <w:tc>
          <w:tcPr>
            <w:tcW w:w="784"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专业</w:t>
            </w:r>
          </w:p>
        </w:tc>
        <w:tc>
          <w:tcPr>
            <w:tcW w:w="918"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职称</w:t>
            </w:r>
          </w:p>
          <w:p>
            <w:pPr>
              <w:adjustRightInd w:val="0"/>
              <w:snapToGrid w:val="0"/>
              <w:jc w:val="center"/>
              <w:rPr>
                <w:rFonts w:ascii="宋体" w:hAnsi="宋体"/>
                <w:kern w:val="0"/>
                <w:szCs w:val="22"/>
              </w:rPr>
            </w:pPr>
            <w:r>
              <w:rPr>
                <w:rFonts w:hint="eastAsia" w:ascii="宋体" w:hAnsi="宋体"/>
                <w:kern w:val="0"/>
                <w:szCs w:val="22"/>
              </w:rPr>
              <w:t>等级</w:t>
            </w:r>
          </w:p>
        </w:tc>
        <w:tc>
          <w:tcPr>
            <w:tcW w:w="851"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职称证号</w:t>
            </w:r>
          </w:p>
        </w:tc>
        <w:tc>
          <w:tcPr>
            <w:tcW w:w="680"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上岗证号</w:t>
            </w:r>
          </w:p>
        </w:tc>
        <w:tc>
          <w:tcPr>
            <w:tcW w:w="1020"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社保</w:t>
            </w:r>
          </w:p>
          <w:p>
            <w:pPr>
              <w:adjustRightInd w:val="0"/>
              <w:snapToGrid w:val="0"/>
              <w:jc w:val="center"/>
              <w:rPr>
                <w:rFonts w:ascii="宋体" w:hAnsi="宋体"/>
                <w:kern w:val="0"/>
                <w:szCs w:val="22"/>
              </w:rPr>
            </w:pPr>
            <w:r>
              <w:rPr>
                <w:rFonts w:hint="eastAsia" w:ascii="宋体" w:hAnsi="宋体"/>
                <w:kern w:val="0"/>
                <w:szCs w:val="22"/>
              </w:rPr>
              <w:t>电脑号</w:t>
            </w:r>
          </w:p>
        </w:tc>
        <w:tc>
          <w:tcPr>
            <w:tcW w:w="2211" w:type="dxa"/>
            <w:shd w:val="clear" w:color="auto" w:fill="auto"/>
            <w:vAlign w:val="center"/>
          </w:tcPr>
          <w:p>
            <w:pPr>
              <w:adjustRightInd w:val="0"/>
              <w:snapToGrid w:val="0"/>
              <w:jc w:val="center"/>
              <w:rPr>
                <w:rFonts w:ascii="宋体" w:hAnsi="宋体"/>
                <w:kern w:val="0"/>
                <w:szCs w:val="22"/>
              </w:rPr>
            </w:pPr>
            <w:r>
              <w:rPr>
                <w:rFonts w:hint="eastAsia" w:ascii="宋体" w:hAnsi="宋体"/>
                <w:kern w:val="0"/>
                <w:szCs w:val="22"/>
              </w:rPr>
              <w:t>在本项目中拟任的岗位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43" w:type="dxa"/>
            <w:shd w:val="clear" w:color="auto" w:fill="auto"/>
            <w:vAlign w:val="center"/>
          </w:tcPr>
          <w:p>
            <w:pPr>
              <w:adjustRightInd w:val="0"/>
              <w:snapToGrid w:val="0"/>
              <w:spacing w:line="360" w:lineRule="auto"/>
              <w:rPr>
                <w:rFonts w:ascii="宋体" w:hAnsi="宋体"/>
                <w:kern w:val="0"/>
                <w:szCs w:val="22"/>
              </w:rPr>
            </w:pPr>
          </w:p>
        </w:tc>
        <w:tc>
          <w:tcPr>
            <w:tcW w:w="986" w:type="dxa"/>
            <w:shd w:val="clear" w:color="auto" w:fill="auto"/>
            <w:vAlign w:val="center"/>
          </w:tcPr>
          <w:p>
            <w:pPr>
              <w:adjustRightInd w:val="0"/>
              <w:snapToGrid w:val="0"/>
              <w:spacing w:line="360" w:lineRule="auto"/>
              <w:rPr>
                <w:rFonts w:ascii="宋体" w:hAnsi="宋体"/>
                <w:kern w:val="0"/>
                <w:szCs w:val="22"/>
              </w:rPr>
            </w:pPr>
          </w:p>
        </w:tc>
        <w:tc>
          <w:tcPr>
            <w:tcW w:w="1395" w:type="dxa"/>
            <w:shd w:val="clear" w:color="auto" w:fill="auto"/>
            <w:vAlign w:val="center"/>
          </w:tcPr>
          <w:p>
            <w:pPr>
              <w:adjustRightInd w:val="0"/>
              <w:snapToGrid w:val="0"/>
              <w:spacing w:line="360" w:lineRule="auto"/>
              <w:rPr>
                <w:rFonts w:ascii="宋体" w:hAnsi="宋体"/>
                <w:kern w:val="0"/>
                <w:szCs w:val="22"/>
              </w:rPr>
            </w:pPr>
          </w:p>
        </w:tc>
        <w:tc>
          <w:tcPr>
            <w:tcW w:w="784" w:type="dxa"/>
            <w:shd w:val="clear" w:color="auto" w:fill="auto"/>
            <w:vAlign w:val="center"/>
          </w:tcPr>
          <w:p>
            <w:pPr>
              <w:adjustRightInd w:val="0"/>
              <w:snapToGrid w:val="0"/>
              <w:spacing w:line="360" w:lineRule="auto"/>
              <w:rPr>
                <w:rFonts w:ascii="宋体" w:hAnsi="宋体"/>
                <w:kern w:val="0"/>
                <w:szCs w:val="22"/>
              </w:rPr>
            </w:pPr>
          </w:p>
        </w:tc>
        <w:tc>
          <w:tcPr>
            <w:tcW w:w="918" w:type="dxa"/>
            <w:shd w:val="clear" w:color="auto" w:fill="auto"/>
            <w:vAlign w:val="center"/>
          </w:tcPr>
          <w:p>
            <w:pPr>
              <w:adjustRightInd w:val="0"/>
              <w:snapToGrid w:val="0"/>
              <w:spacing w:line="360" w:lineRule="auto"/>
              <w:rPr>
                <w:rFonts w:ascii="宋体" w:hAnsi="宋体"/>
                <w:kern w:val="0"/>
                <w:szCs w:val="22"/>
              </w:rPr>
            </w:pPr>
          </w:p>
        </w:tc>
        <w:tc>
          <w:tcPr>
            <w:tcW w:w="851" w:type="dxa"/>
            <w:shd w:val="clear" w:color="auto" w:fill="auto"/>
            <w:vAlign w:val="center"/>
          </w:tcPr>
          <w:p>
            <w:pPr>
              <w:adjustRightInd w:val="0"/>
              <w:snapToGrid w:val="0"/>
              <w:spacing w:line="360" w:lineRule="auto"/>
              <w:jc w:val="left"/>
              <w:rPr>
                <w:rFonts w:ascii="宋体" w:hAnsi="宋体"/>
                <w:kern w:val="0"/>
                <w:szCs w:val="22"/>
              </w:rPr>
            </w:pPr>
          </w:p>
        </w:tc>
        <w:tc>
          <w:tcPr>
            <w:tcW w:w="680" w:type="dxa"/>
            <w:shd w:val="clear" w:color="auto" w:fill="auto"/>
            <w:vAlign w:val="center"/>
          </w:tcPr>
          <w:p>
            <w:pPr>
              <w:adjustRightInd w:val="0"/>
              <w:snapToGrid w:val="0"/>
              <w:spacing w:line="360" w:lineRule="auto"/>
              <w:jc w:val="left"/>
              <w:rPr>
                <w:rFonts w:ascii="宋体" w:hAnsi="宋体"/>
                <w:kern w:val="0"/>
                <w:szCs w:val="22"/>
              </w:rPr>
            </w:pPr>
          </w:p>
        </w:tc>
        <w:tc>
          <w:tcPr>
            <w:tcW w:w="1020" w:type="dxa"/>
            <w:shd w:val="clear" w:color="auto" w:fill="auto"/>
            <w:vAlign w:val="center"/>
          </w:tcPr>
          <w:p>
            <w:pPr>
              <w:adjustRightInd w:val="0"/>
              <w:snapToGrid w:val="0"/>
              <w:spacing w:line="360" w:lineRule="auto"/>
              <w:jc w:val="left"/>
              <w:rPr>
                <w:rFonts w:ascii="宋体" w:hAnsi="宋体"/>
                <w:kern w:val="0"/>
                <w:szCs w:val="22"/>
              </w:rPr>
            </w:pPr>
          </w:p>
        </w:tc>
        <w:tc>
          <w:tcPr>
            <w:tcW w:w="2211" w:type="dxa"/>
            <w:shd w:val="clear" w:color="auto" w:fill="auto"/>
            <w:vAlign w:val="center"/>
          </w:tcPr>
          <w:p>
            <w:pPr>
              <w:adjustRightInd w:val="0"/>
              <w:snapToGrid w:val="0"/>
              <w:spacing w:line="360" w:lineRule="auto"/>
              <w:jc w:val="left"/>
              <w:rPr>
                <w:rFonts w:ascii="宋体" w:hAnsi="宋体"/>
                <w:kern w:val="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43" w:type="dxa"/>
            <w:shd w:val="clear" w:color="auto" w:fill="auto"/>
            <w:vAlign w:val="center"/>
          </w:tcPr>
          <w:p>
            <w:pPr>
              <w:adjustRightInd w:val="0"/>
              <w:snapToGrid w:val="0"/>
              <w:spacing w:line="360" w:lineRule="auto"/>
              <w:rPr>
                <w:rFonts w:ascii="宋体" w:hAnsi="宋体"/>
                <w:kern w:val="0"/>
                <w:szCs w:val="22"/>
              </w:rPr>
            </w:pPr>
          </w:p>
        </w:tc>
        <w:tc>
          <w:tcPr>
            <w:tcW w:w="986" w:type="dxa"/>
            <w:shd w:val="clear" w:color="auto" w:fill="auto"/>
            <w:vAlign w:val="center"/>
          </w:tcPr>
          <w:p>
            <w:pPr>
              <w:adjustRightInd w:val="0"/>
              <w:snapToGrid w:val="0"/>
              <w:spacing w:line="360" w:lineRule="auto"/>
              <w:rPr>
                <w:rFonts w:ascii="宋体" w:hAnsi="宋体"/>
                <w:kern w:val="0"/>
                <w:szCs w:val="22"/>
              </w:rPr>
            </w:pPr>
          </w:p>
        </w:tc>
        <w:tc>
          <w:tcPr>
            <w:tcW w:w="1395" w:type="dxa"/>
            <w:shd w:val="clear" w:color="auto" w:fill="auto"/>
            <w:vAlign w:val="center"/>
          </w:tcPr>
          <w:p>
            <w:pPr>
              <w:adjustRightInd w:val="0"/>
              <w:snapToGrid w:val="0"/>
              <w:spacing w:line="360" w:lineRule="auto"/>
              <w:rPr>
                <w:rFonts w:ascii="宋体" w:hAnsi="宋体"/>
                <w:kern w:val="0"/>
                <w:szCs w:val="22"/>
              </w:rPr>
            </w:pPr>
          </w:p>
        </w:tc>
        <w:tc>
          <w:tcPr>
            <w:tcW w:w="784" w:type="dxa"/>
            <w:shd w:val="clear" w:color="auto" w:fill="auto"/>
            <w:vAlign w:val="center"/>
          </w:tcPr>
          <w:p>
            <w:pPr>
              <w:adjustRightInd w:val="0"/>
              <w:snapToGrid w:val="0"/>
              <w:spacing w:line="360" w:lineRule="auto"/>
              <w:rPr>
                <w:rFonts w:ascii="宋体" w:hAnsi="宋体"/>
                <w:kern w:val="0"/>
                <w:szCs w:val="22"/>
              </w:rPr>
            </w:pPr>
          </w:p>
        </w:tc>
        <w:tc>
          <w:tcPr>
            <w:tcW w:w="918" w:type="dxa"/>
            <w:shd w:val="clear" w:color="auto" w:fill="auto"/>
            <w:vAlign w:val="center"/>
          </w:tcPr>
          <w:p>
            <w:pPr>
              <w:adjustRightInd w:val="0"/>
              <w:snapToGrid w:val="0"/>
              <w:spacing w:line="360" w:lineRule="auto"/>
              <w:rPr>
                <w:rFonts w:ascii="宋体" w:hAnsi="宋体"/>
                <w:kern w:val="0"/>
                <w:szCs w:val="22"/>
              </w:rPr>
            </w:pPr>
          </w:p>
        </w:tc>
        <w:tc>
          <w:tcPr>
            <w:tcW w:w="851" w:type="dxa"/>
            <w:shd w:val="clear" w:color="auto" w:fill="auto"/>
            <w:vAlign w:val="center"/>
          </w:tcPr>
          <w:p>
            <w:pPr>
              <w:adjustRightInd w:val="0"/>
              <w:snapToGrid w:val="0"/>
              <w:spacing w:line="360" w:lineRule="auto"/>
              <w:jc w:val="left"/>
              <w:rPr>
                <w:rFonts w:ascii="宋体" w:hAnsi="宋体"/>
                <w:kern w:val="0"/>
                <w:szCs w:val="22"/>
              </w:rPr>
            </w:pPr>
          </w:p>
        </w:tc>
        <w:tc>
          <w:tcPr>
            <w:tcW w:w="680" w:type="dxa"/>
            <w:shd w:val="clear" w:color="auto" w:fill="auto"/>
            <w:vAlign w:val="center"/>
          </w:tcPr>
          <w:p>
            <w:pPr>
              <w:adjustRightInd w:val="0"/>
              <w:snapToGrid w:val="0"/>
              <w:spacing w:line="360" w:lineRule="auto"/>
              <w:jc w:val="left"/>
              <w:rPr>
                <w:rFonts w:ascii="宋体" w:hAnsi="宋体"/>
                <w:kern w:val="0"/>
                <w:szCs w:val="22"/>
              </w:rPr>
            </w:pPr>
          </w:p>
        </w:tc>
        <w:tc>
          <w:tcPr>
            <w:tcW w:w="1020" w:type="dxa"/>
            <w:shd w:val="clear" w:color="auto" w:fill="auto"/>
            <w:vAlign w:val="center"/>
          </w:tcPr>
          <w:p>
            <w:pPr>
              <w:adjustRightInd w:val="0"/>
              <w:snapToGrid w:val="0"/>
              <w:spacing w:line="360" w:lineRule="auto"/>
              <w:jc w:val="left"/>
              <w:rPr>
                <w:rFonts w:ascii="宋体" w:hAnsi="宋体"/>
                <w:kern w:val="0"/>
                <w:szCs w:val="22"/>
              </w:rPr>
            </w:pPr>
          </w:p>
        </w:tc>
        <w:tc>
          <w:tcPr>
            <w:tcW w:w="2211" w:type="dxa"/>
            <w:shd w:val="clear" w:color="auto" w:fill="auto"/>
            <w:vAlign w:val="center"/>
          </w:tcPr>
          <w:p>
            <w:pPr>
              <w:adjustRightInd w:val="0"/>
              <w:snapToGrid w:val="0"/>
              <w:spacing w:line="360" w:lineRule="auto"/>
              <w:jc w:val="left"/>
              <w:rPr>
                <w:rFonts w:ascii="宋体" w:hAnsi="宋体"/>
                <w:kern w:val="0"/>
                <w:szCs w:val="22"/>
              </w:rPr>
            </w:pPr>
          </w:p>
        </w:tc>
      </w:tr>
    </w:tbl>
    <w:p>
      <w:pPr>
        <w:adjustRightInd w:val="0"/>
        <w:snapToGrid w:val="0"/>
        <w:spacing w:line="360" w:lineRule="auto"/>
        <w:jc w:val="left"/>
        <w:rPr>
          <w:rFonts w:ascii="宋体" w:hAnsi="宋体"/>
          <w:kern w:val="0"/>
          <w:szCs w:val="21"/>
        </w:rPr>
      </w:pPr>
      <w:r>
        <w:rPr>
          <w:rFonts w:hint="eastAsia" w:ascii="宋体" w:hAnsi="宋体"/>
          <w:kern w:val="0"/>
          <w:szCs w:val="21"/>
        </w:rPr>
        <w:t>注：在本项目中拟任的岗位为可选项，有项目负责人、工程技术负责人、项目负责人兼工程技术负责人、审核人、项目技术人员、编录人员、机长、记录员、注册安全工程师、安全主任、安全员、实验室主任、实验员、注册测绘工程师、测量员等15项可选择，每人只能选择一个岗位。</w:t>
      </w:r>
      <w:r>
        <w:rPr>
          <w:rFonts w:ascii="宋体" w:hAnsi="宋体"/>
          <w:kern w:val="0"/>
          <w:szCs w:val="21"/>
        </w:rPr>
        <w:br w:type="page"/>
      </w:r>
    </w:p>
    <w:p>
      <w:pPr>
        <w:adjustRightInd w:val="0"/>
        <w:snapToGrid w:val="0"/>
        <w:spacing w:line="360" w:lineRule="auto"/>
        <w:jc w:val="left"/>
        <w:rPr>
          <w:rFonts w:ascii="宋体" w:hAnsi="宋体"/>
          <w:kern w:val="0"/>
          <w:sz w:val="24"/>
        </w:rPr>
      </w:pPr>
      <w:r>
        <w:rPr>
          <w:rFonts w:hint="eastAsia" w:ascii="宋体" w:hAnsi="宋体"/>
          <w:b/>
          <w:kern w:val="0"/>
          <w:sz w:val="24"/>
        </w:rPr>
        <w:t>附件2</w:t>
      </w:r>
    </w:p>
    <w:p>
      <w:pPr>
        <w:adjustRightInd w:val="0"/>
        <w:snapToGrid w:val="0"/>
        <w:spacing w:line="360" w:lineRule="auto"/>
        <w:jc w:val="center"/>
        <w:rPr>
          <w:rFonts w:eastAsia="黑体"/>
          <w:kern w:val="0"/>
          <w:sz w:val="32"/>
          <w:szCs w:val="32"/>
        </w:rPr>
      </w:pPr>
      <w:r>
        <w:rPr>
          <w:rFonts w:hint="eastAsia" w:eastAsia="黑体"/>
          <w:b/>
          <w:kern w:val="0"/>
          <w:sz w:val="32"/>
          <w:szCs w:val="32"/>
        </w:rPr>
        <w:t>拟投入本项目勘察人员基本情况表</w:t>
      </w:r>
    </w:p>
    <w:p>
      <w:pPr>
        <w:adjustRightInd w:val="0"/>
        <w:snapToGrid w:val="0"/>
        <w:spacing w:line="360" w:lineRule="auto"/>
        <w:jc w:val="center"/>
        <w:rPr>
          <w:rFonts w:ascii="宋体" w:hAnsi="宋体"/>
          <w:kern w:val="0"/>
          <w:sz w:val="24"/>
        </w:rPr>
      </w:pPr>
    </w:p>
    <w:tbl>
      <w:tblPr>
        <w:tblStyle w:val="25"/>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9"/>
        <w:gridCol w:w="394"/>
        <w:gridCol w:w="942"/>
        <w:gridCol w:w="137"/>
        <w:gridCol w:w="262"/>
        <w:gridCol w:w="669"/>
        <w:gridCol w:w="22"/>
        <w:gridCol w:w="422"/>
        <w:gridCol w:w="1259"/>
        <w:gridCol w:w="691"/>
        <w:gridCol w:w="598"/>
        <w:gridCol w:w="750"/>
        <w:gridCol w:w="232"/>
        <w:gridCol w:w="420"/>
        <w:gridCol w:w="182"/>
        <w:gridCol w:w="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39" w:type="dxa"/>
            <w:shd w:val="clear" w:color="auto" w:fill="auto"/>
            <w:vAlign w:val="center"/>
          </w:tcPr>
          <w:p>
            <w:pPr>
              <w:pStyle w:val="11"/>
              <w:adjustRightInd w:val="0"/>
              <w:snapToGrid w:val="0"/>
              <w:jc w:val="center"/>
              <w:rPr>
                <w:rFonts w:hAnsi="宋体" w:cs="Courier New"/>
                <w:sz w:val="21"/>
              </w:rPr>
            </w:pPr>
            <w:r>
              <w:rPr>
                <w:rFonts w:hint="eastAsia" w:hAnsi="宋体" w:cs="Courier New"/>
                <w:sz w:val="21"/>
              </w:rPr>
              <w:t>姓名</w:t>
            </w:r>
          </w:p>
        </w:tc>
        <w:tc>
          <w:tcPr>
            <w:tcW w:w="1735" w:type="dxa"/>
            <w:gridSpan w:val="4"/>
            <w:shd w:val="clear" w:color="auto" w:fill="auto"/>
            <w:vAlign w:val="center"/>
          </w:tcPr>
          <w:p>
            <w:pPr>
              <w:pStyle w:val="11"/>
              <w:adjustRightInd w:val="0"/>
              <w:snapToGrid w:val="0"/>
              <w:jc w:val="center"/>
              <w:rPr>
                <w:rFonts w:hAnsi="宋体" w:cs="Courier New"/>
                <w:sz w:val="21"/>
              </w:rPr>
            </w:pPr>
          </w:p>
        </w:tc>
        <w:tc>
          <w:tcPr>
            <w:tcW w:w="1113" w:type="dxa"/>
            <w:gridSpan w:val="3"/>
            <w:shd w:val="clear" w:color="auto" w:fill="auto"/>
            <w:vAlign w:val="center"/>
          </w:tcPr>
          <w:p>
            <w:pPr>
              <w:pStyle w:val="11"/>
              <w:adjustRightInd w:val="0"/>
              <w:snapToGrid w:val="0"/>
              <w:jc w:val="center"/>
              <w:rPr>
                <w:rFonts w:hAnsi="宋体" w:cs="Courier New"/>
                <w:sz w:val="21"/>
              </w:rPr>
            </w:pPr>
            <w:r>
              <w:rPr>
                <w:rFonts w:hint="eastAsia" w:hAnsi="宋体" w:cs="Courier New"/>
                <w:sz w:val="21"/>
              </w:rPr>
              <w:t>性别</w:t>
            </w:r>
          </w:p>
        </w:tc>
        <w:tc>
          <w:tcPr>
            <w:tcW w:w="1950" w:type="dxa"/>
            <w:gridSpan w:val="2"/>
            <w:shd w:val="clear" w:color="auto" w:fill="auto"/>
            <w:vAlign w:val="center"/>
          </w:tcPr>
          <w:p>
            <w:pPr>
              <w:pStyle w:val="11"/>
              <w:adjustRightInd w:val="0"/>
              <w:snapToGrid w:val="0"/>
              <w:jc w:val="center"/>
              <w:rPr>
                <w:rFonts w:hAnsi="宋体" w:cs="Courier New"/>
                <w:sz w:val="21"/>
              </w:rPr>
            </w:pPr>
          </w:p>
        </w:tc>
        <w:tc>
          <w:tcPr>
            <w:tcW w:w="1580" w:type="dxa"/>
            <w:gridSpan w:val="3"/>
            <w:shd w:val="clear" w:color="auto" w:fill="auto"/>
            <w:vAlign w:val="center"/>
          </w:tcPr>
          <w:p>
            <w:pPr>
              <w:pStyle w:val="11"/>
              <w:adjustRightInd w:val="0"/>
              <w:snapToGrid w:val="0"/>
              <w:jc w:val="center"/>
              <w:rPr>
                <w:rFonts w:hAnsi="宋体" w:cs="Courier New"/>
                <w:sz w:val="21"/>
              </w:rPr>
            </w:pPr>
            <w:r>
              <w:rPr>
                <w:rFonts w:hint="eastAsia" w:hAnsi="宋体" w:cs="Courier New"/>
                <w:sz w:val="21"/>
              </w:rPr>
              <w:t>身份证号</w:t>
            </w:r>
          </w:p>
        </w:tc>
        <w:tc>
          <w:tcPr>
            <w:tcW w:w="1471" w:type="dxa"/>
            <w:gridSpan w:val="3"/>
            <w:shd w:val="clear" w:color="auto" w:fill="auto"/>
            <w:vAlign w:val="center"/>
          </w:tcPr>
          <w:p>
            <w:pPr>
              <w:pStyle w:val="11"/>
              <w:adjustRightInd w:val="0"/>
              <w:snapToGrid w:val="0"/>
              <w:jc w:val="center"/>
              <w:rPr>
                <w:rFonts w:hAnsi="宋体" w:cs="Courier New"/>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39" w:type="dxa"/>
            <w:shd w:val="clear" w:color="auto" w:fill="auto"/>
            <w:vAlign w:val="center"/>
          </w:tcPr>
          <w:p>
            <w:pPr>
              <w:pStyle w:val="11"/>
              <w:adjustRightInd w:val="0"/>
              <w:snapToGrid w:val="0"/>
              <w:jc w:val="center"/>
              <w:rPr>
                <w:rFonts w:hAnsi="宋体" w:cs="Courier New"/>
                <w:sz w:val="21"/>
              </w:rPr>
            </w:pPr>
            <w:r>
              <w:rPr>
                <w:rFonts w:hint="eastAsia" w:hAnsi="宋体" w:cs="Courier New"/>
                <w:sz w:val="21"/>
              </w:rPr>
              <w:t>学历</w:t>
            </w:r>
          </w:p>
        </w:tc>
        <w:tc>
          <w:tcPr>
            <w:tcW w:w="1735" w:type="dxa"/>
            <w:gridSpan w:val="4"/>
            <w:shd w:val="clear" w:color="auto" w:fill="auto"/>
            <w:vAlign w:val="center"/>
          </w:tcPr>
          <w:p>
            <w:pPr>
              <w:pStyle w:val="11"/>
              <w:adjustRightInd w:val="0"/>
              <w:snapToGrid w:val="0"/>
              <w:jc w:val="center"/>
              <w:rPr>
                <w:rFonts w:hAnsi="宋体" w:cs="Courier New"/>
                <w:sz w:val="21"/>
              </w:rPr>
            </w:pPr>
          </w:p>
        </w:tc>
        <w:tc>
          <w:tcPr>
            <w:tcW w:w="1113" w:type="dxa"/>
            <w:gridSpan w:val="3"/>
            <w:shd w:val="clear" w:color="auto" w:fill="auto"/>
            <w:vAlign w:val="center"/>
          </w:tcPr>
          <w:p>
            <w:pPr>
              <w:pStyle w:val="11"/>
              <w:adjustRightInd w:val="0"/>
              <w:snapToGrid w:val="0"/>
              <w:jc w:val="center"/>
              <w:rPr>
                <w:rFonts w:hAnsi="宋体" w:cs="Courier New"/>
                <w:sz w:val="21"/>
              </w:rPr>
            </w:pPr>
            <w:r>
              <w:rPr>
                <w:rFonts w:hint="eastAsia" w:hAnsi="宋体" w:cs="Courier New"/>
                <w:sz w:val="21"/>
              </w:rPr>
              <w:t>毕业时间</w:t>
            </w:r>
          </w:p>
        </w:tc>
        <w:tc>
          <w:tcPr>
            <w:tcW w:w="1950" w:type="dxa"/>
            <w:gridSpan w:val="2"/>
            <w:shd w:val="clear" w:color="auto" w:fill="auto"/>
            <w:vAlign w:val="center"/>
          </w:tcPr>
          <w:p>
            <w:pPr>
              <w:pStyle w:val="11"/>
              <w:adjustRightInd w:val="0"/>
              <w:snapToGrid w:val="0"/>
              <w:jc w:val="center"/>
              <w:rPr>
                <w:rFonts w:hAnsi="宋体" w:cs="Courier New"/>
                <w:sz w:val="21"/>
              </w:rPr>
            </w:pPr>
          </w:p>
        </w:tc>
        <w:tc>
          <w:tcPr>
            <w:tcW w:w="1580" w:type="dxa"/>
            <w:gridSpan w:val="3"/>
            <w:shd w:val="clear" w:color="auto" w:fill="auto"/>
            <w:vAlign w:val="center"/>
          </w:tcPr>
          <w:p>
            <w:pPr>
              <w:pStyle w:val="11"/>
              <w:adjustRightInd w:val="0"/>
              <w:snapToGrid w:val="0"/>
              <w:jc w:val="center"/>
              <w:rPr>
                <w:rFonts w:hAnsi="宋体" w:cs="Courier New"/>
                <w:sz w:val="21"/>
              </w:rPr>
            </w:pPr>
            <w:r>
              <w:rPr>
                <w:rFonts w:hint="eastAsia" w:hAnsi="宋体" w:cs="Courier New"/>
                <w:sz w:val="21"/>
              </w:rPr>
              <w:t>从事专业</w:t>
            </w:r>
          </w:p>
        </w:tc>
        <w:tc>
          <w:tcPr>
            <w:tcW w:w="1471" w:type="dxa"/>
            <w:gridSpan w:val="3"/>
            <w:shd w:val="clear" w:color="auto" w:fill="auto"/>
            <w:vAlign w:val="center"/>
          </w:tcPr>
          <w:p>
            <w:pPr>
              <w:pStyle w:val="11"/>
              <w:adjustRightInd w:val="0"/>
              <w:snapToGrid w:val="0"/>
              <w:jc w:val="center"/>
              <w:rPr>
                <w:rFonts w:hAnsi="宋体" w:cs="Courier New"/>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39" w:type="dxa"/>
            <w:shd w:val="clear" w:color="auto" w:fill="auto"/>
            <w:vAlign w:val="center"/>
          </w:tcPr>
          <w:p>
            <w:pPr>
              <w:pStyle w:val="11"/>
              <w:adjustRightInd w:val="0"/>
              <w:snapToGrid w:val="0"/>
              <w:jc w:val="center"/>
              <w:rPr>
                <w:rFonts w:hAnsi="宋体" w:cs="Courier New"/>
                <w:sz w:val="21"/>
              </w:rPr>
            </w:pPr>
            <w:r>
              <w:rPr>
                <w:rFonts w:hint="eastAsia" w:hAnsi="宋体" w:cs="Courier New"/>
                <w:sz w:val="21"/>
              </w:rPr>
              <w:t>注册证书号</w:t>
            </w:r>
          </w:p>
        </w:tc>
        <w:tc>
          <w:tcPr>
            <w:tcW w:w="2848" w:type="dxa"/>
            <w:gridSpan w:val="7"/>
            <w:shd w:val="clear" w:color="auto" w:fill="auto"/>
            <w:vAlign w:val="center"/>
          </w:tcPr>
          <w:p>
            <w:pPr>
              <w:pStyle w:val="11"/>
              <w:adjustRightInd w:val="0"/>
              <w:snapToGrid w:val="0"/>
              <w:jc w:val="center"/>
              <w:rPr>
                <w:rFonts w:hAnsi="宋体" w:cs="Courier New"/>
                <w:sz w:val="21"/>
              </w:rPr>
            </w:pPr>
          </w:p>
        </w:tc>
        <w:tc>
          <w:tcPr>
            <w:tcW w:w="1950" w:type="dxa"/>
            <w:gridSpan w:val="2"/>
            <w:shd w:val="clear" w:color="auto" w:fill="auto"/>
            <w:vAlign w:val="center"/>
          </w:tcPr>
          <w:p>
            <w:pPr>
              <w:pStyle w:val="11"/>
              <w:adjustRightInd w:val="0"/>
              <w:snapToGrid w:val="0"/>
              <w:jc w:val="center"/>
              <w:rPr>
                <w:rFonts w:hAnsi="宋体" w:cs="Courier New"/>
                <w:sz w:val="21"/>
              </w:rPr>
            </w:pPr>
            <w:r>
              <w:rPr>
                <w:rFonts w:hint="eastAsia" w:hAnsi="宋体" w:cs="Courier New"/>
                <w:sz w:val="21"/>
              </w:rPr>
              <w:t>注册专业</w:t>
            </w:r>
          </w:p>
        </w:tc>
        <w:tc>
          <w:tcPr>
            <w:tcW w:w="3051" w:type="dxa"/>
            <w:gridSpan w:val="6"/>
            <w:shd w:val="clear" w:color="auto" w:fill="auto"/>
            <w:vAlign w:val="center"/>
          </w:tcPr>
          <w:p>
            <w:pPr>
              <w:pStyle w:val="11"/>
              <w:adjustRightInd w:val="0"/>
              <w:snapToGrid w:val="0"/>
              <w:jc w:val="center"/>
              <w:rPr>
                <w:rFonts w:hAnsi="宋体" w:cs="Courier New"/>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39" w:type="dxa"/>
            <w:shd w:val="clear" w:color="auto" w:fill="auto"/>
            <w:vAlign w:val="center"/>
          </w:tcPr>
          <w:p>
            <w:pPr>
              <w:pStyle w:val="11"/>
              <w:adjustRightInd w:val="0"/>
              <w:snapToGrid w:val="0"/>
              <w:jc w:val="center"/>
              <w:rPr>
                <w:rFonts w:hAnsi="宋体" w:cs="Courier New"/>
                <w:sz w:val="21"/>
              </w:rPr>
            </w:pPr>
            <w:r>
              <w:rPr>
                <w:rFonts w:hint="eastAsia" w:hAnsi="宋体" w:cs="Courier New"/>
                <w:sz w:val="21"/>
              </w:rPr>
              <w:t>职称等级</w:t>
            </w:r>
          </w:p>
        </w:tc>
        <w:tc>
          <w:tcPr>
            <w:tcW w:w="2848" w:type="dxa"/>
            <w:gridSpan w:val="7"/>
            <w:shd w:val="clear" w:color="auto" w:fill="auto"/>
            <w:vAlign w:val="center"/>
          </w:tcPr>
          <w:p>
            <w:pPr>
              <w:pStyle w:val="11"/>
              <w:adjustRightInd w:val="0"/>
              <w:snapToGrid w:val="0"/>
              <w:jc w:val="center"/>
              <w:rPr>
                <w:rFonts w:hAnsi="宋体" w:cs="Courier New"/>
                <w:sz w:val="21"/>
              </w:rPr>
            </w:pPr>
          </w:p>
        </w:tc>
        <w:tc>
          <w:tcPr>
            <w:tcW w:w="1950" w:type="dxa"/>
            <w:gridSpan w:val="2"/>
            <w:shd w:val="clear" w:color="auto" w:fill="auto"/>
            <w:vAlign w:val="center"/>
          </w:tcPr>
          <w:p>
            <w:pPr>
              <w:pStyle w:val="11"/>
              <w:adjustRightInd w:val="0"/>
              <w:snapToGrid w:val="0"/>
              <w:jc w:val="center"/>
              <w:rPr>
                <w:rFonts w:hAnsi="宋体" w:cs="Courier New"/>
                <w:sz w:val="21"/>
              </w:rPr>
            </w:pPr>
            <w:r>
              <w:rPr>
                <w:rFonts w:hint="eastAsia" w:hAnsi="宋体" w:cs="Courier New"/>
                <w:sz w:val="21"/>
              </w:rPr>
              <w:t>在本项目拟任岗位</w:t>
            </w:r>
          </w:p>
        </w:tc>
        <w:tc>
          <w:tcPr>
            <w:tcW w:w="3051" w:type="dxa"/>
            <w:gridSpan w:val="6"/>
            <w:shd w:val="clear" w:color="auto" w:fill="auto"/>
            <w:vAlign w:val="center"/>
          </w:tcPr>
          <w:p>
            <w:pPr>
              <w:pStyle w:val="11"/>
              <w:adjustRightInd w:val="0"/>
              <w:snapToGrid w:val="0"/>
              <w:jc w:val="center"/>
              <w:rPr>
                <w:rFonts w:hAnsi="宋体" w:cs="Courier New"/>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288" w:type="dxa"/>
            <w:gridSpan w:val="16"/>
            <w:shd w:val="clear" w:color="auto" w:fill="auto"/>
            <w:vAlign w:val="center"/>
          </w:tcPr>
          <w:p>
            <w:pPr>
              <w:pStyle w:val="11"/>
              <w:adjustRightInd w:val="0"/>
              <w:snapToGrid w:val="0"/>
              <w:rPr>
                <w:rFonts w:hAnsi="宋体" w:cs="Courier New"/>
                <w:sz w:val="21"/>
                <w:szCs w:val="22"/>
              </w:rPr>
            </w:pPr>
            <w:r>
              <w:rPr>
                <w:rFonts w:hint="eastAsia" w:hAnsi="宋体" w:cs="Courier New"/>
                <w:sz w:val="21"/>
              </w:rPr>
              <w:t>深圳市住房和建设局施工图审查信息管理系统记录的业绩信息：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3" w:type="dxa"/>
            <w:gridSpan w:val="2"/>
            <w:vMerge w:val="restart"/>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工程名称</w:t>
            </w:r>
          </w:p>
        </w:tc>
        <w:tc>
          <w:tcPr>
            <w:tcW w:w="1079" w:type="dxa"/>
            <w:gridSpan w:val="2"/>
            <w:vMerge w:val="restart"/>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工程等级</w:t>
            </w:r>
          </w:p>
        </w:tc>
        <w:tc>
          <w:tcPr>
            <w:tcW w:w="953" w:type="dxa"/>
            <w:gridSpan w:val="3"/>
            <w:vMerge w:val="restart"/>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钻孔数（个）</w:t>
            </w:r>
          </w:p>
        </w:tc>
        <w:tc>
          <w:tcPr>
            <w:tcW w:w="1681" w:type="dxa"/>
            <w:gridSpan w:val="2"/>
            <w:vMerge w:val="restart"/>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建设单位</w:t>
            </w:r>
          </w:p>
        </w:tc>
        <w:tc>
          <w:tcPr>
            <w:tcW w:w="691" w:type="dxa"/>
            <w:vMerge w:val="restart"/>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rPr>
              <w:t>工作</w:t>
            </w:r>
            <w:r>
              <w:rPr>
                <w:rFonts w:hint="eastAsia" w:hAnsi="宋体" w:cs="Courier New"/>
                <w:sz w:val="21"/>
                <w:szCs w:val="24"/>
              </w:rPr>
              <w:t>职责</w:t>
            </w:r>
          </w:p>
        </w:tc>
        <w:tc>
          <w:tcPr>
            <w:tcW w:w="1348" w:type="dxa"/>
            <w:gridSpan w:val="2"/>
            <w:vMerge w:val="restart"/>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工程信息</w:t>
            </w:r>
          </w:p>
          <w:p>
            <w:pPr>
              <w:pStyle w:val="11"/>
              <w:adjustRightInd w:val="0"/>
              <w:snapToGrid w:val="0"/>
              <w:jc w:val="center"/>
              <w:rPr>
                <w:rFonts w:hAnsi="宋体" w:cs="Courier New"/>
                <w:sz w:val="21"/>
                <w:szCs w:val="22"/>
              </w:rPr>
            </w:pPr>
            <w:r>
              <w:rPr>
                <w:rFonts w:hint="eastAsia" w:hAnsi="宋体" w:cs="Courier New"/>
                <w:sz w:val="21"/>
                <w:szCs w:val="22"/>
              </w:rPr>
              <w:t>登记时间</w:t>
            </w:r>
          </w:p>
        </w:tc>
        <w:tc>
          <w:tcPr>
            <w:tcW w:w="1703" w:type="dxa"/>
            <w:gridSpan w:val="4"/>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问题记录（条）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3" w:type="dxa"/>
            <w:gridSpan w:val="2"/>
            <w:vMerge w:val="continue"/>
            <w:shd w:val="clear" w:color="auto" w:fill="auto"/>
            <w:vAlign w:val="center"/>
          </w:tcPr>
          <w:p>
            <w:pPr>
              <w:pStyle w:val="11"/>
              <w:adjustRightInd w:val="0"/>
              <w:snapToGrid w:val="0"/>
              <w:jc w:val="center"/>
              <w:rPr>
                <w:rFonts w:hAnsi="宋体" w:cs="Courier New"/>
                <w:sz w:val="21"/>
                <w:szCs w:val="22"/>
              </w:rPr>
            </w:pPr>
          </w:p>
        </w:tc>
        <w:tc>
          <w:tcPr>
            <w:tcW w:w="1079" w:type="dxa"/>
            <w:gridSpan w:val="2"/>
            <w:vMerge w:val="continue"/>
            <w:shd w:val="clear" w:color="auto" w:fill="auto"/>
            <w:vAlign w:val="center"/>
          </w:tcPr>
          <w:p>
            <w:pPr>
              <w:pStyle w:val="11"/>
              <w:adjustRightInd w:val="0"/>
              <w:snapToGrid w:val="0"/>
              <w:jc w:val="center"/>
              <w:rPr>
                <w:rFonts w:hAnsi="宋体" w:cs="Courier New"/>
                <w:sz w:val="21"/>
                <w:szCs w:val="22"/>
              </w:rPr>
            </w:pPr>
          </w:p>
        </w:tc>
        <w:tc>
          <w:tcPr>
            <w:tcW w:w="953" w:type="dxa"/>
            <w:gridSpan w:val="3"/>
            <w:vMerge w:val="continue"/>
            <w:shd w:val="clear" w:color="auto" w:fill="auto"/>
            <w:vAlign w:val="center"/>
          </w:tcPr>
          <w:p>
            <w:pPr>
              <w:pStyle w:val="11"/>
              <w:adjustRightInd w:val="0"/>
              <w:snapToGrid w:val="0"/>
              <w:jc w:val="center"/>
              <w:rPr>
                <w:rFonts w:hAnsi="宋体" w:cs="Courier New"/>
                <w:sz w:val="21"/>
                <w:szCs w:val="22"/>
              </w:rPr>
            </w:pPr>
          </w:p>
        </w:tc>
        <w:tc>
          <w:tcPr>
            <w:tcW w:w="1681" w:type="dxa"/>
            <w:gridSpan w:val="2"/>
            <w:vMerge w:val="continue"/>
            <w:shd w:val="clear" w:color="auto" w:fill="auto"/>
            <w:vAlign w:val="center"/>
          </w:tcPr>
          <w:p>
            <w:pPr>
              <w:pStyle w:val="11"/>
              <w:adjustRightInd w:val="0"/>
              <w:snapToGrid w:val="0"/>
              <w:jc w:val="center"/>
              <w:rPr>
                <w:rFonts w:hAnsi="宋体" w:cs="Courier New"/>
                <w:sz w:val="21"/>
              </w:rPr>
            </w:pPr>
          </w:p>
        </w:tc>
        <w:tc>
          <w:tcPr>
            <w:tcW w:w="691" w:type="dxa"/>
            <w:vMerge w:val="continue"/>
            <w:shd w:val="clear" w:color="auto" w:fill="auto"/>
            <w:vAlign w:val="center"/>
          </w:tcPr>
          <w:p>
            <w:pPr>
              <w:pStyle w:val="11"/>
              <w:adjustRightInd w:val="0"/>
              <w:snapToGrid w:val="0"/>
              <w:jc w:val="center"/>
              <w:rPr>
                <w:rFonts w:hAnsi="宋体" w:cs="Courier New"/>
                <w:sz w:val="21"/>
              </w:rPr>
            </w:pPr>
          </w:p>
        </w:tc>
        <w:tc>
          <w:tcPr>
            <w:tcW w:w="1348" w:type="dxa"/>
            <w:gridSpan w:val="2"/>
            <w:vMerge w:val="continue"/>
            <w:shd w:val="clear" w:color="auto" w:fill="auto"/>
            <w:vAlign w:val="center"/>
          </w:tcPr>
          <w:p>
            <w:pPr>
              <w:pStyle w:val="11"/>
              <w:adjustRightInd w:val="0"/>
              <w:snapToGrid w:val="0"/>
              <w:jc w:val="center"/>
              <w:rPr>
                <w:rFonts w:hAnsi="宋体" w:cs="Courier New"/>
                <w:sz w:val="21"/>
                <w:szCs w:val="22"/>
              </w:rPr>
            </w:pPr>
          </w:p>
        </w:tc>
        <w:tc>
          <w:tcPr>
            <w:tcW w:w="834" w:type="dxa"/>
            <w:gridSpan w:val="3"/>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强条</w:t>
            </w:r>
          </w:p>
        </w:tc>
        <w:tc>
          <w:tcPr>
            <w:tcW w:w="869" w:type="dxa"/>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3" w:type="dxa"/>
            <w:gridSpan w:val="2"/>
            <w:shd w:val="clear" w:color="auto" w:fill="auto"/>
            <w:vAlign w:val="center"/>
          </w:tcPr>
          <w:p>
            <w:pPr>
              <w:pStyle w:val="11"/>
              <w:adjustRightInd w:val="0"/>
              <w:snapToGrid w:val="0"/>
              <w:spacing w:line="360" w:lineRule="auto"/>
              <w:jc w:val="center"/>
              <w:rPr>
                <w:rFonts w:hAnsi="宋体" w:cs="Courier New"/>
                <w:sz w:val="21"/>
                <w:szCs w:val="22"/>
              </w:rPr>
            </w:pPr>
          </w:p>
        </w:tc>
        <w:tc>
          <w:tcPr>
            <w:tcW w:w="1079" w:type="dxa"/>
            <w:gridSpan w:val="2"/>
            <w:shd w:val="clear" w:color="auto" w:fill="auto"/>
            <w:vAlign w:val="center"/>
          </w:tcPr>
          <w:p>
            <w:pPr>
              <w:pStyle w:val="11"/>
              <w:adjustRightInd w:val="0"/>
              <w:snapToGrid w:val="0"/>
              <w:spacing w:line="360" w:lineRule="auto"/>
              <w:jc w:val="center"/>
              <w:rPr>
                <w:rFonts w:hAnsi="宋体" w:cs="Courier New"/>
                <w:sz w:val="21"/>
                <w:szCs w:val="22"/>
              </w:rPr>
            </w:pPr>
          </w:p>
        </w:tc>
        <w:tc>
          <w:tcPr>
            <w:tcW w:w="953"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1681" w:type="dxa"/>
            <w:gridSpan w:val="2"/>
            <w:shd w:val="clear" w:color="auto" w:fill="auto"/>
            <w:vAlign w:val="center"/>
          </w:tcPr>
          <w:p>
            <w:pPr>
              <w:pStyle w:val="11"/>
              <w:adjustRightInd w:val="0"/>
              <w:snapToGrid w:val="0"/>
              <w:spacing w:line="360" w:lineRule="auto"/>
              <w:jc w:val="center"/>
              <w:rPr>
                <w:rFonts w:hAnsi="宋体" w:cs="Courier New"/>
                <w:sz w:val="21"/>
              </w:rPr>
            </w:pPr>
          </w:p>
        </w:tc>
        <w:tc>
          <w:tcPr>
            <w:tcW w:w="691" w:type="dxa"/>
            <w:shd w:val="clear" w:color="auto" w:fill="auto"/>
            <w:vAlign w:val="center"/>
          </w:tcPr>
          <w:p>
            <w:pPr>
              <w:pStyle w:val="11"/>
              <w:adjustRightInd w:val="0"/>
              <w:snapToGrid w:val="0"/>
              <w:spacing w:line="360" w:lineRule="auto"/>
              <w:jc w:val="center"/>
              <w:rPr>
                <w:rFonts w:hAnsi="宋体" w:cs="Courier New"/>
                <w:sz w:val="21"/>
              </w:rPr>
            </w:pPr>
          </w:p>
        </w:tc>
        <w:tc>
          <w:tcPr>
            <w:tcW w:w="1348" w:type="dxa"/>
            <w:gridSpan w:val="2"/>
            <w:shd w:val="clear" w:color="auto" w:fill="auto"/>
            <w:vAlign w:val="center"/>
          </w:tcPr>
          <w:p>
            <w:pPr>
              <w:pStyle w:val="11"/>
              <w:adjustRightInd w:val="0"/>
              <w:snapToGrid w:val="0"/>
              <w:spacing w:line="360" w:lineRule="auto"/>
              <w:jc w:val="center"/>
              <w:rPr>
                <w:rFonts w:hAnsi="宋体" w:cs="Courier New"/>
                <w:sz w:val="21"/>
                <w:szCs w:val="22"/>
              </w:rPr>
            </w:pPr>
          </w:p>
        </w:tc>
        <w:tc>
          <w:tcPr>
            <w:tcW w:w="834"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869" w:type="dxa"/>
            <w:shd w:val="clear" w:color="auto" w:fill="auto"/>
            <w:vAlign w:val="center"/>
          </w:tcPr>
          <w:p>
            <w:pPr>
              <w:pStyle w:val="11"/>
              <w:adjustRightInd w:val="0"/>
              <w:snapToGrid w:val="0"/>
              <w:spacing w:line="360" w:lineRule="auto"/>
              <w:jc w:val="center"/>
              <w:rPr>
                <w:rFonts w:hAnsi="宋体" w:cs="Courier New"/>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3" w:type="dxa"/>
            <w:gridSpan w:val="2"/>
            <w:shd w:val="clear" w:color="auto" w:fill="auto"/>
            <w:vAlign w:val="center"/>
          </w:tcPr>
          <w:p>
            <w:pPr>
              <w:pStyle w:val="11"/>
              <w:adjustRightInd w:val="0"/>
              <w:snapToGrid w:val="0"/>
              <w:spacing w:line="360" w:lineRule="auto"/>
              <w:jc w:val="center"/>
              <w:rPr>
                <w:rFonts w:hAnsi="宋体" w:cs="Courier New"/>
                <w:sz w:val="21"/>
                <w:szCs w:val="22"/>
              </w:rPr>
            </w:pPr>
          </w:p>
        </w:tc>
        <w:tc>
          <w:tcPr>
            <w:tcW w:w="1079" w:type="dxa"/>
            <w:gridSpan w:val="2"/>
            <w:shd w:val="clear" w:color="auto" w:fill="auto"/>
            <w:vAlign w:val="center"/>
          </w:tcPr>
          <w:p>
            <w:pPr>
              <w:pStyle w:val="11"/>
              <w:adjustRightInd w:val="0"/>
              <w:snapToGrid w:val="0"/>
              <w:spacing w:line="360" w:lineRule="auto"/>
              <w:jc w:val="center"/>
              <w:rPr>
                <w:rFonts w:hAnsi="宋体" w:cs="Courier New"/>
                <w:sz w:val="21"/>
                <w:szCs w:val="22"/>
              </w:rPr>
            </w:pPr>
          </w:p>
        </w:tc>
        <w:tc>
          <w:tcPr>
            <w:tcW w:w="953"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1681" w:type="dxa"/>
            <w:gridSpan w:val="2"/>
            <w:shd w:val="clear" w:color="auto" w:fill="auto"/>
            <w:vAlign w:val="center"/>
          </w:tcPr>
          <w:p>
            <w:pPr>
              <w:pStyle w:val="11"/>
              <w:adjustRightInd w:val="0"/>
              <w:snapToGrid w:val="0"/>
              <w:spacing w:line="360" w:lineRule="auto"/>
              <w:jc w:val="center"/>
              <w:rPr>
                <w:rFonts w:hAnsi="宋体" w:cs="Courier New"/>
                <w:sz w:val="21"/>
              </w:rPr>
            </w:pPr>
          </w:p>
        </w:tc>
        <w:tc>
          <w:tcPr>
            <w:tcW w:w="691" w:type="dxa"/>
            <w:shd w:val="clear" w:color="auto" w:fill="auto"/>
            <w:vAlign w:val="center"/>
          </w:tcPr>
          <w:p>
            <w:pPr>
              <w:pStyle w:val="11"/>
              <w:adjustRightInd w:val="0"/>
              <w:snapToGrid w:val="0"/>
              <w:spacing w:line="360" w:lineRule="auto"/>
              <w:jc w:val="center"/>
              <w:rPr>
                <w:rFonts w:hAnsi="宋体" w:cs="Courier New"/>
                <w:sz w:val="21"/>
              </w:rPr>
            </w:pPr>
          </w:p>
        </w:tc>
        <w:tc>
          <w:tcPr>
            <w:tcW w:w="1348" w:type="dxa"/>
            <w:gridSpan w:val="2"/>
            <w:shd w:val="clear" w:color="auto" w:fill="auto"/>
            <w:vAlign w:val="center"/>
          </w:tcPr>
          <w:p>
            <w:pPr>
              <w:pStyle w:val="11"/>
              <w:adjustRightInd w:val="0"/>
              <w:snapToGrid w:val="0"/>
              <w:spacing w:line="360" w:lineRule="auto"/>
              <w:jc w:val="center"/>
              <w:rPr>
                <w:rFonts w:hAnsi="宋体" w:cs="Courier New"/>
                <w:sz w:val="21"/>
                <w:szCs w:val="22"/>
              </w:rPr>
            </w:pPr>
          </w:p>
        </w:tc>
        <w:tc>
          <w:tcPr>
            <w:tcW w:w="834"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869" w:type="dxa"/>
            <w:shd w:val="clear" w:color="auto" w:fill="auto"/>
            <w:vAlign w:val="center"/>
          </w:tcPr>
          <w:p>
            <w:pPr>
              <w:pStyle w:val="11"/>
              <w:adjustRightInd w:val="0"/>
              <w:snapToGrid w:val="0"/>
              <w:spacing w:line="360" w:lineRule="auto"/>
              <w:jc w:val="center"/>
              <w:rPr>
                <w:rFonts w:hAnsi="宋体" w:cs="Courier New"/>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833" w:type="dxa"/>
            <w:gridSpan w:val="2"/>
            <w:shd w:val="clear" w:color="auto" w:fill="auto"/>
            <w:vAlign w:val="center"/>
          </w:tcPr>
          <w:p>
            <w:pPr>
              <w:pStyle w:val="11"/>
              <w:adjustRightInd w:val="0"/>
              <w:snapToGrid w:val="0"/>
              <w:spacing w:line="360" w:lineRule="auto"/>
              <w:jc w:val="center"/>
              <w:rPr>
                <w:rFonts w:hAnsi="宋体" w:cs="Courier New"/>
                <w:sz w:val="21"/>
                <w:szCs w:val="22"/>
              </w:rPr>
            </w:pPr>
          </w:p>
        </w:tc>
        <w:tc>
          <w:tcPr>
            <w:tcW w:w="1079" w:type="dxa"/>
            <w:gridSpan w:val="2"/>
            <w:shd w:val="clear" w:color="auto" w:fill="auto"/>
            <w:vAlign w:val="center"/>
          </w:tcPr>
          <w:p>
            <w:pPr>
              <w:pStyle w:val="11"/>
              <w:adjustRightInd w:val="0"/>
              <w:snapToGrid w:val="0"/>
              <w:spacing w:line="360" w:lineRule="auto"/>
              <w:jc w:val="center"/>
              <w:rPr>
                <w:rFonts w:hAnsi="宋体" w:cs="Courier New"/>
                <w:sz w:val="21"/>
                <w:szCs w:val="22"/>
              </w:rPr>
            </w:pPr>
          </w:p>
        </w:tc>
        <w:tc>
          <w:tcPr>
            <w:tcW w:w="953"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1681" w:type="dxa"/>
            <w:gridSpan w:val="2"/>
            <w:shd w:val="clear" w:color="auto" w:fill="auto"/>
            <w:vAlign w:val="center"/>
          </w:tcPr>
          <w:p>
            <w:pPr>
              <w:pStyle w:val="11"/>
              <w:adjustRightInd w:val="0"/>
              <w:snapToGrid w:val="0"/>
              <w:spacing w:line="360" w:lineRule="auto"/>
              <w:jc w:val="center"/>
              <w:rPr>
                <w:rFonts w:hAnsi="宋体" w:cs="Courier New"/>
                <w:sz w:val="21"/>
              </w:rPr>
            </w:pPr>
          </w:p>
        </w:tc>
        <w:tc>
          <w:tcPr>
            <w:tcW w:w="691" w:type="dxa"/>
            <w:shd w:val="clear" w:color="auto" w:fill="auto"/>
            <w:vAlign w:val="center"/>
          </w:tcPr>
          <w:p>
            <w:pPr>
              <w:pStyle w:val="11"/>
              <w:adjustRightInd w:val="0"/>
              <w:snapToGrid w:val="0"/>
              <w:spacing w:line="360" w:lineRule="auto"/>
              <w:jc w:val="center"/>
              <w:rPr>
                <w:rFonts w:hAnsi="宋体" w:cs="Courier New"/>
                <w:sz w:val="21"/>
              </w:rPr>
            </w:pPr>
          </w:p>
        </w:tc>
        <w:tc>
          <w:tcPr>
            <w:tcW w:w="1348" w:type="dxa"/>
            <w:gridSpan w:val="2"/>
            <w:shd w:val="clear" w:color="auto" w:fill="auto"/>
            <w:vAlign w:val="center"/>
          </w:tcPr>
          <w:p>
            <w:pPr>
              <w:pStyle w:val="11"/>
              <w:adjustRightInd w:val="0"/>
              <w:snapToGrid w:val="0"/>
              <w:spacing w:line="360" w:lineRule="auto"/>
              <w:jc w:val="center"/>
              <w:rPr>
                <w:rFonts w:hAnsi="宋体" w:cs="Courier New"/>
                <w:sz w:val="21"/>
                <w:szCs w:val="22"/>
              </w:rPr>
            </w:pPr>
          </w:p>
        </w:tc>
        <w:tc>
          <w:tcPr>
            <w:tcW w:w="834"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869" w:type="dxa"/>
            <w:shd w:val="clear" w:color="auto" w:fill="auto"/>
            <w:vAlign w:val="center"/>
          </w:tcPr>
          <w:p>
            <w:pPr>
              <w:pStyle w:val="11"/>
              <w:adjustRightInd w:val="0"/>
              <w:snapToGrid w:val="0"/>
              <w:spacing w:line="360" w:lineRule="auto"/>
              <w:jc w:val="center"/>
              <w:rPr>
                <w:rFonts w:hAnsi="宋体" w:cs="Courier New"/>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9288" w:type="dxa"/>
            <w:gridSpan w:val="16"/>
            <w:shd w:val="clear" w:color="auto" w:fill="auto"/>
            <w:vAlign w:val="center"/>
          </w:tcPr>
          <w:p>
            <w:pPr>
              <w:pStyle w:val="11"/>
              <w:adjustRightInd w:val="0"/>
              <w:snapToGrid w:val="0"/>
              <w:rPr>
                <w:rFonts w:hAnsi="宋体" w:cs="Courier New"/>
                <w:sz w:val="21"/>
                <w:szCs w:val="22"/>
              </w:rPr>
            </w:pPr>
            <w:r>
              <w:rPr>
                <w:rFonts w:hint="eastAsia" w:hAnsi="宋体" w:cs="Courier New"/>
                <w:sz w:val="21"/>
              </w:rPr>
              <w:t>其他业绩信息（投标人填写）：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775" w:type="dxa"/>
            <w:gridSpan w:val="3"/>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工程名称</w:t>
            </w:r>
          </w:p>
        </w:tc>
        <w:tc>
          <w:tcPr>
            <w:tcW w:w="1068" w:type="dxa"/>
            <w:gridSpan w:val="3"/>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工程等级</w:t>
            </w:r>
          </w:p>
        </w:tc>
        <w:tc>
          <w:tcPr>
            <w:tcW w:w="2992" w:type="dxa"/>
            <w:gridSpan w:val="5"/>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建设单位</w:t>
            </w:r>
          </w:p>
        </w:tc>
        <w:tc>
          <w:tcPr>
            <w:tcW w:w="1402" w:type="dxa"/>
            <w:gridSpan w:val="3"/>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szCs w:val="22"/>
              </w:rPr>
              <w:t>担任岗位</w:t>
            </w:r>
          </w:p>
        </w:tc>
        <w:tc>
          <w:tcPr>
            <w:tcW w:w="1051" w:type="dxa"/>
            <w:gridSpan w:val="2"/>
            <w:shd w:val="clear" w:color="auto" w:fill="auto"/>
            <w:vAlign w:val="center"/>
          </w:tcPr>
          <w:p>
            <w:pPr>
              <w:pStyle w:val="11"/>
              <w:adjustRightInd w:val="0"/>
              <w:snapToGrid w:val="0"/>
              <w:jc w:val="center"/>
              <w:rPr>
                <w:rFonts w:hAnsi="宋体" w:cs="Courier New"/>
                <w:sz w:val="21"/>
                <w:szCs w:val="22"/>
              </w:rPr>
            </w:pPr>
            <w:r>
              <w:rPr>
                <w:rFonts w:hint="eastAsia" w:hAnsi="宋体" w:cs="Courier New"/>
                <w:sz w:val="21"/>
              </w:rPr>
              <w:t>工程完成时间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775"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1068"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2992" w:type="dxa"/>
            <w:gridSpan w:val="5"/>
            <w:shd w:val="clear" w:color="auto" w:fill="auto"/>
            <w:vAlign w:val="center"/>
          </w:tcPr>
          <w:p>
            <w:pPr>
              <w:pStyle w:val="11"/>
              <w:adjustRightInd w:val="0"/>
              <w:snapToGrid w:val="0"/>
              <w:spacing w:line="360" w:lineRule="auto"/>
              <w:jc w:val="center"/>
              <w:rPr>
                <w:rFonts w:hAnsi="宋体" w:cs="Courier New"/>
                <w:sz w:val="21"/>
                <w:szCs w:val="22"/>
              </w:rPr>
            </w:pPr>
          </w:p>
        </w:tc>
        <w:tc>
          <w:tcPr>
            <w:tcW w:w="1402"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1051" w:type="dxa"/>
            <w:gridSpan w:val="2"/>
            <w:shd w:val="clear" w:color="auto" w:fill="auto"/>
            <w:vAlign w:val="center"/>
          </w:tcPr>
          <w:p>
            <w:pPr>
              <w:pStyle w:val="11"/>
              <w:adjustRightInd w:val="0"/>
              <w:snapToGrid w:val="0"/>
              <w:spacing w:line="360" w:lineRule="auto"/>
              <w:jc w:val="center"/>
              <w:rPr>
                <w:rFonts w:hAnsi="宋体" w:cs="Courier New"/>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775"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1068"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2992" w:type="dxa"/>
            <w:gridSpan w:val="5"/>
            <w:shd w:val="clear" w:color="auto" w:fill="auto"/>
            <w:vAlign w:val="center"/>
          </w:tcPr>
          <w:p>
            <w:pPr>
              <w:pStyle w:val="11"/>
              <w:adjustRightInd w:val="0"/>
              <w:snapToGrid w:val="0"/>
              <w:spacing w:line="360" w:lineRule="auto"/>
              <w:jc w:val="center"/>
              <w:rPr>
                <w:rFonts w:hAnsi="宋体" w:cs="Courier New"/>
                <w:sz w:val="21"/>
                <w:szCs w:val="22"/>
              </w:rPr>
            </w:pPr>
          </w:p>
        </w:tc>
        <w:tc>
          <w:tcPr>
            <w:tcW w:w="1402"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1051" w:type="dxa"/>
            <w:gridSpan w:val="2"/>
            <w:shd w:val="clear" w:color="auto" w:fill="auto"/>
            <w:vAlign w:val="center"/>
          </w:tcPr>
          <w:p>
            <w:pPr>
              <w:pStyle w:val="11"/>
              <w:adjustRightInd w:val="0"/>
              <w:snapToGrid w:val="0"/>
              <w:spacing w:line="360" w:lineRule="auto"/>
              <w:jc w:val="center"/>
              <w:rPr>
                <w:rFonts w:hAnsi="宋体" w:cs="Courier New"/>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775"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1068"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2992" w:type="dxa"/>
            <w:gridSpan w:val="5"/>
            <w:shd w:val="clear" w:color="auto" w:fill="auto"/>
            <w:vAlign w:val="center"/>
          </w:tcPr>
          <w:p>
            <w:pPr>
              <w:pStyle w:val="11"/>
              <w:adjustRightInd w:val="0"/>
              <w:snapToGrid w:val="0"/>
              <w:spacing w:line="360" w:lineRule="auto"/>
              <w:jc w:val="center"/>
              <w:rPr>
                <w:rFonts w:hAnsi="宋体" w:cs="Courier New"/>
                <w:sz w:val="21"/>
                <w:szCs w:val="22"/>
              </w:rPr>
            </w:pPr>
          </w:p>
        </w:tc>
        <w:tc>
          <w:tcPr>
            <w:tcW w:w="1402" w:type="dxa"/>
            <w:gridSpan w:val="3"/>
            <w:shd w:val="clear" w:color="auto" w:fill="auto"/>
            <w:vAlign w:val="center"/>
          </w:tcPr>
          <w:p>
            <w:pPr>
              <w:pStyle w:val="11"/>
              <w:adjustRightInd w:val="0"/>
              <w:snapToGrid w:val="0"/>
              <w:spacing w:line="360" w:lineRule="auto"/>
              <w:jc w:val="center"/>
              <w:rPr>
                <w:rFonts w:hAnsi="宋体" w:cs="Courier New"/>
                <w:sz w:val="21"/>
                <w:szCs w:val="22"/>
              </w:rPr>
            </w:pPr>
          </w:p>
        </w:tc>
        <w:tc>
          <w:tcPr>
            <w:tcW w:w="1051" w:type="dxa"/>
            <w:gridSpan w:val="2"/>
            <w:shd w:val="clear" w:color="auto" w:fill="auto"/>
            <w:vAlign w:val="center"/>
          </w:tcPr>
          <w:p>
            <w:pPr>
              <w:pStyle w:val="11"/>
              <w:adjustRightInd w:val="0"/>
              <w:snapToGrid w:val="0"/>
              <w:spacing w:line="360" w:lineRule="auto"/>
              <w:jc w:val="center"/>
              <w:rPr>
                <w:rFonts w:hAnsi="宋体" w:cs="Courier New"/>
                <w:sz w:val="21"/>
              </w:rPr>
            </w:pPr>
          </w:p>
        </w:tc>
      </w:tr>
    </w:tbl>
    <w:p>
      <w:pPr>
        <w:adjustRightInd w:val="0"/>
        <w:snapToGrid w:val="0"/>
        <w:spacing w:line="360" w:lineRule="auto"/>
        <w:ind w:firstLine="422" w:firstLineChars="200"/>
        <w:jc w:val="left"/>
        <w:rPr>
          <w:rFonts w:ascii="宋体" w:hAnsi="宋体"/>
          <w:b/>
          <w:kern w:val="0"/>
        </w:rPr>
      </w:pPr>
    </w:p>
    <w:p>
      <w:pPr>
        <w:adjustRightInd w:val="0"/>
        <w:snapToGrid w:val="0"/>
        <w:spacing w:line="360" w:lineRule="auto"/>
        <w:jc w:val="left"/>
        <w:rPr>
          <w:rFonts w:ascii="宋体" w:hAnsi="宋体"/>
          <w:kern w:val="0"/>
        </w:rPr>
      </w:pPr>
      <w:r>
        <w:rPr>
          <w:rFonts w:hint="eastAsia" w:ascii="宋体" w:hAnsi="宋体"/>
          <w:kern w:val="0"/>
        </w:rPr>
        <w:t>重要提示：</w:t>
      </w:r>
    </w:p>
    <w:p>
      <w:pPr>
        <w:adjustRightInd w:val="0"/>
        <w:snapToGrid w:val="0"/>
        <w:spacing w:line="360" w:lineRule="auto"/>
        <w:ind w:firstLine="420" w:firstLineChars="200"/>
        <w:jc w:val="left"/>
        <w:rPr>
          <w:rFonts w:ascii="宋体" w:hAnsi="宋体"/>
          <w:kern w:val="0"/>
        </w:rPr>
      </w:pPr>
      <w:r>
        <w:rPr>
          <w:rFonts w:hint="eastAsia" w:ascii="宋体" w:hAnsi="宋体"/>
          <w:kern w:val="0"/>
          <w:szCs w:val="21"/>
        </w:rPr>
        <w:t>1.“</w:t>
      </w:r>
      <w:r>
        <w:rPr>
          <w:rFonts w:hint="eastAsia" w:ascii="宋体" w:hAnsi="宋体"/>
          <w:kern w:val="0"/>
        </w:rPr>
        <w:t>其他业绩信息</w:t>
      </w:r>
      <w:r>
        <w:rPr>
          <w:rFonts w:hint="eastAsia" w:ascii="宋体" w:hAnsi="宋体"/>
          <w:kern w:val="0"/>
          <w:szCs w:val="21"/>
        </w:rPr>
        <w:t>”</w:t>
      </w:r>
      <w:r>
        <w:rPr>
          <w:rFonts w:hint="eastAsia" w:ascii="宋体" w:hAnsi="宋体"/>
          <w:kern w:val="0"/>
        </w:rPr>
        <w:t>由投标人填写除了市住建局施工图审查信息管理系统记录之外的其他业绩信息，其</w:t>
      </w:r>
      <w:r>
        <w:rPr>
          <w:rFonts w:hint="eastAsia" w:ascii="宋体" w:hAnsi="宋体"/>
          <w:kern w:val="0"/>
          <w:szCs w:val="21"/>
        </w:rPr>
        <w:t>中“担任岗位”为可选项，有项目负责人、工程技术负责人、项目负责人兼工程技术负责人、审核人、项目技术人员、编录人员、机长、记录员、注册安全工程师、安全主任、安全员、实验室主任、实验员、注册测绘工程师、测量员等15项可选择，视实际情况选择。</w:t>
      </w:r>
    </w:p>
    <w:p>
      <w:pPr>
        <w:adjustRightInd w:val="0"/>
        <w:snapToGrid w:val="0"/>
        <w:spacing w:line="360" w:lineRule="auto"/>
        <w:ind w:firstLine="420" w:firstLineChars="200"/>
        <w:jc w:val="left"/>
        <w:rPr>
          <w:rFonts w:ascii="宋体" w:hAnsi="宋体"/>
          <w:kern w:val="0"/>
          <w:szCs w:val="21"/>
        </w:rPr>
      </w:pPr>
      <w:r>
        <w:rPr>
          <w:rFonts w:hint="eastAsia" w:ascii="宋体" w:hAnsi="宋体"/>
          <w:kern w:val="0"/>
          <w:szCs w:val="21"/>
        </w:rPr>
        <w:t>2.“工程等级”为可选项，有甲级、乙级、丙级，视实际情况选择。</w:t>
      </w:r>
    </w:p>
    <w:p>
      <w:pPr>
        <w:adjustRightInd w:val="0"/>
        <w:snapToGrid w:val="0"/>
        <w:spacing w:line="360" w:lineRule="auto"/>
        <w:ind w:firstLine="420" w:firstLineChars="200"/>
        <w:jc w:val="left"/>
        <w:rPr>
          <w:rFonts w:ascii="宋体" w:hAnsi="宋体"/>
          <w:kern w:val="0"/>
          <w:szCs w:val="21"/>
        </w:rPr>
      </w:pPr>
      <w:r>
        <w:rPr>
          <w:rFonts w:hint="eastAsia" w:ascii="宋体" w:hAnsi="宋体"/>
          <w:kern w:val="0"/>
          <w:szCs w:val="21"/>
        </w:rPr>
        <w:t>3.“工程完成时间”：以工程交付给建设单位的时间为准。</w:t>
      </w:r>
    </w:p>
    <w:p>
      <w:pPr>
        <w:pStyle w:val="4"/>
        <w:numPr>
          <w:ilvl w:val="0"/>
          <w:numId w:val="0"/>
        </w:numPr>
        <w:rPr>
          <w:rFonts w:hint="eastAsia"/>
          <w:lang w:eastAsia="zh-CN"/>
        </w:rPr>
      </w:pPr>
      <w:r>
        <w:rPr>
          <w:rFonts w:hint="eastAsia" w:ascii="宋体" w:hAnsi="宋体"/>
          <w:kern w:val="0"/>
          <w:szCs w:val="21"/>
        </w:rPr>
        <w:t>4.从《深圳市住房和建设局施工图审查信息管理系统》中点选的业绩信息无需上传扫描件，由投标人填写的《其他业绩信息》须上传扫描件。</w:t>
      </w:r>
      <w:r>
        <w:rPr>
          <w:rFonts w:ascii="宋体" w:hAnsi="宋体"/>
          <w:kern w:val="0"/>
          <w:szCs w:val="21"/>
        </w:rPr>
        <w:br w:type="page"/>
      </w:r>
    </w:p>
    <w:p>
      <w:pPr>
        <w:pStyle w:val="3"/>
        <w:rPr>
          <w:rFonts w:hint="eastAsia" w:ascii="宋体" w:hAnsi="宋体" w:eastAsia="宋体" w:cs="宋体"/>
        </w:rPr>
      </w:pPr>
    </w:p>
    <w:p>
      <w:pPr>
        <w:pStyle w:val="3"/>
        <w:rPr>
          <w:rFonts w:ascii="宋体" w:hAnsi="宋体" w:eastAsia="宋体" w:cs="宋体"/>
        </w:rPr>
      </w:pPr>
      <w:r>
        <w:rPr>
          <w:rFonts w:hint="eastAsia" w:ascii="宋体" w:hAnsi="宋体" w:eastAsia="宋体" w:cs="宋体"/>
          <w:lang w:eastAsia="zh-CN"/>
        </w:rPr>
        <w:t>八</w:t>
      </w:r>
      <w:r>
        <w:rPr>
          <w:rFonts w:hint="eastAsia" w:ascii="宋体" w:hAnsi="宋体" w:eastAsia="宋体" w:cs="宋体"/>
        </w:rPr>
        <w:t>、投标人认为需提供的其他有关文件</w:t>
      </w:r>
      <w:bookmarkEnd w:id="85"/>
    </w:p>
    <w:p>
      <w:pPr>
        <w:pStyle w:val="4"/>
        <w:ind w:firstLine="400"/>
      </w:pPr>
    </w:p>
    <w:p>
      <w:pPr>
        <w:pStyle w:val="4"/>
        <w:ind w:firstLine="400"/>
      </w:pPr>
    </w:p>
    <w:p>
      <w:pPr>
        <w:pStyle w:val="4"/>
        <w:ind w:firstLine="400"/>
      </w:pPr>
    </w:p>
    <w:p>
      <w:pPr>
        <w:pStyle w:val="4"/>
        <w:ind w:firstLine="400"/>
      </w:pPr>
    </w:p>
    <w:p>
      <w:pPr>
        <w:pStyle w:val="2"/>
        <w:jc w:val="center"/>
        <w:rPr>
          <w:rFonts w:hint="eastAsia"/>
        </w:rPr>
      </w:pPr>
      <w:bookmarkStart w:id="86" w:name="_Toc457481170"/>
      <w:r>
        <w:rPr>
          <w:rFonts w:hint="eastAsia"/>
        </w:rPr>
        <w:t>第五部分 合同文件</w:t>
      </w:r>
      <w:bookmarkEnd w:id="86"/>
    </w:p>
    <w:p>
      <w:pPr>
        <w:rPr>
          <w:rFonts w:hint="eastAsia"/>
        </w:rPr>
      </w:pPr>
    </w:p>
    <w:p>
      <w:pPr>
        <w:rPr>
          <w:rFonts w:hint="eastAsia"/>
        </w:rPr>
      </w:pPr>
    </w:p>
    <w:p>
      <w:pPr>
        <w:adjustRightInd w:val="0"/>
        <w:snapToGrid w:val="0"/>
        <w:jc w:val="center"/>
        <w:rPr>
          <w:rFonts w:hint="eastAsia" w:ascii="宋体" w:hAnsi="宋体"/>
          <w:b/>
          <w:sz w:val="52"/>
          <w:szCs w:val="52"/>
        </w:rPr>
      </w:pPr>
      <w:r>
        <w:rPr>
          <w:rFonts w:hint="eastAsia" w:ascii="宋体" w:hAnsi="宋体"/>
          <w:b/>
          <w:sz w:val="52"/>
          <w:szCs w:val="52"/>
          <w:lang w:eastAsia="zh-CN"/>
        </w:rPr>
        <w:t>深圳北邮科技大厦</w:t>
      </w:r>
      <w:r>
        <w:rPr>
          <w:rFonts w:hint="eastAsia" w:ascii="宋体" w:hAnsi="宋体"/>
          <w:b/>
          <w:sz w:val="52"/>
          <w:szCs w:val="52"/>
        </w:rPr>
        <w:t>第三方监测及主体沉降观测合同</w:t>
      </w:r>
    </w:p>
    <w:p>
      <w:pPr>
        <w:adjustRightInd w:val="0"/>
        <w:snapToGrid w:val="0"/>
        <w:jc w:val="right"/>
        <w:rPr>
          <w:rFonts w:hint="eastAsia" w:ascii="宋体" w:hAnsi="宋体" w:eastAsia="宋体"/>
          <w:b/>
          <w:sz w:val="24"/>
          <w:szCs w:val="24"/>
          <w:lang w:eastAsia="zh-CN"/>
        </w:rPr>
      </w:pPr>
      <w:r>
        <w:rPr>
          <w:rFonts w:hint="eastAsia" w:ascii="宋体" w:hAnsi="宋体"/>
          <w:b/>
          <w:sz w:val="24"/>
          <w:szCs w:val="24"/>
          <w:lang w:eastAsia="zh-CN"/>
        </w:rPr>
        <w:t>合同编号：</w:t>
      </w:r>
      <w:r>
        <w:rPr>
          <w:rFonts w:hint="eastAsia" w:ascii="宋体" w:hAnsi="宋体"/>
          <w:b/>
          <w:sz w:val="24"/>
          <w:szCs w:val="24"/>
          <w:lang w:val="en-US" w:eastAsia="zh-CN"/>
        </w:rPr>
        <w:t>SZBY-监测-01</w:t>
      </w:r>
    </w:p>
    <w:p>
      <w:pPr>
        <w:adjustRightInd w:val="0"/>
        <w:snapToGrid w:val="0"/>
        <w:jc w:val="left"/>
        <w:rPr>
          <w:rFonts w:ascii="宋体" w:hAnsi="宋体"/>
          <w:sz w:val="28"/>
          <w:szCs w:val="28"/>
        </w:rPr>
      </w:pPr>
    </w:p>
    <w:p/>
    <w:p>
      <w:pPr>
        <w:adjustRightInd w:val="0"/>
        <w:snapToGrid w:val="0"/>
        <w:jc w:val="left"/>
        <w:rPr>
          <w:rFonts w:ascii="宋体" w:hAnsi="宋体"/>
          <w:sz w:val="28"/>
          <w:szCs w:val="28"/>
        </w:rPr>
      </w:pPr>
    </w:p>
    <w:p>
      <w:pPr>
        <w:adjustRightInd w:val="0"/>
        <w:snapToGrid w:val="0"/>
        <w:jc w:val="left"/>
        <w:rPr>
          <w:rFonts w:ascii="宋体" w:hAnsi="宋体"/>
          <w:sz w:val="28"/>
          <w:szCs w:val="28"/>
        </w:rPr>
      </w:pPr>
    </w:p>
    <w:p>
      <w:pPr>
        <w:adjustRightInd w:val="0"/>
        <w:snapToGrid w:val="0"/>
        <w:jc w:val="left"/>
        <w:rPr>
          <w:rFonts w:ascii="宋体" w:hAnsi="宋体"/>
          <w:sz w:val="28"/>
          <w:szCs w:val="28"/>
        </w:rPr>
      </w:pPr>
    </w:p>
    <w:p>
      <w:pPr>
        <w:adjustRightInd w:val="0"/>
        <w:snapToGrid w:val="0"/>
        <w:jc w:val="left"/>
        <w:rPr>
          <w:rFonts w:ascii="宋体" w:hAnsi="宋体"/>
          <w:sz w:val="28"/>
          <w:szCs w:val="28"/>
        </w:rPr>
      </w:pPr>
    </w:p>
    <w:p>
      <w:pPr>
        <w:adjustRightInd w:val="0"/>
        <w:snapToGrid w:val="0"/>
        <w:jc w:val="left"/>
        <w:rPr>
          <w:rFonts w:ascii="宋体" w:hAnsi="宋体"/>
          <w:sz w:val="28"/>
          <w:szCs w:val="28"/>
        </w:rPr>
      </w:pPr>
    </w:p>
    <w:p>
      <w:pPr>
        <w:adjustRightInd w:val="0"/>
        <w:snapToGrid w:val="0"/>
        <w:jc w:val="left"/>
        <w:rPr>
          <w:rFonts w:ascii="宋体" w:hAnsi="宋体"/>
          <w:sz w:val="28"/>
          <w:szCs w:val="28"/>
        </w:rPr>
      </w:pPr>
    </w:p>
    <w:p>
      <w:pPr>
        <w:adjustRightInd w:val="0"/>
        <w:snapToGrid w:val="0"/>
        <w:jc w:val="left"/>
        <w:rPr>
          <w:rFonts w:ascii="宋体" w:hAnsi="宋体"/>
          <w:sz w:val="28"/>
          <w:szCs w:val="28"/>
        </w:rPr>
      </w:pPr>
    </w:p>
    <w:p>
      <w:pPr>
        <w:adjustRightInd w:val="0"/>
        <w:snapToGrid w:val="0"/>
        <w:jc w:val="left"/>
        <w:rPr>
          <w:rFonts w:ascii="宋体" w:hAnsi="宋体"/>
          <w:sz w:val="28"/>
          <w:szCs w:val="28"/>
        </w:rPr>
      </w:pPr>
    </w:p>
    <w:p>
      <w:pPr>
        <w:adjustRightInd w:val="0"/>
        <w:snapToGrid w:val="0"/>
        <w:jc w:val="left"/>
        <w:rPr>
          <w:rFonts w:ascii="宋体" w:hAnsi="宋体"/>
          <w:sz w:val="28"/>
          <w:szCs w:val="28"/>
        </w:rPr>
      </w:pPr>
    </w:p>
    <w:p>
      <w:pPr>
        <w:adjustRightInd w:val="0"/>
        <w:snapToGrid w:val="0"/>
        <w:spacing w:line="360" w:lineRule="auto"/>
        <w:ind w:firstLine="640" w:firstLineChars="200"/>
        <w:jc w:val="left"/>
        <w:rPr>
          <w:rFonts w:ascii="宋体" w:hAnsi="宋体"/>
          <w:sz w:val="32"/>
          <w:szCs w:val="32"/>
          <w:u w:val="single"/>
        </w:rPr>
      </w:pPr>
      <w:r>
        <w:rPr>
          <w:rFonts w:hint="eastAsia" w:ascii="宋体" w:hAnsi="宋体"/>
          <w:sz w:val="32"/>
          <w:szCs w:val="32"/>
        </w:rPr>
        <w:t>工程名称：</w:t>
      </w:r>
      <w:r>
        <w:rPr>
          <w:rFonts w:hint="eastAsia" w:ascii="宋体" w:hAnsi="宋体"/>
          <w:sz w:val="32"/>
          <w:szCs w:val="32"/>
          <w:u w:val="single"/>
          <w:lang w:eastAsia="zh-CN"/>
        </w:rPr>
        <w:t>深圳北邮科技大厦</w:t>
      </w:r>
      <w:r>
        <w:rPr>
          <w:rFonts w:hint="eastAsia" w:ascii="宋体" w:hAnsi="宋体"/>
          <w:sz w:val="32"/>
          <w:szCs w:val="32"/>
          <w:u w:val="single"/>
        </w:rPr>
        <w:t>第三方监测及主体沉降观测</w:t>
      </w:r>
    </w:p>
    <w:p>
      <w:pPr>
        <w:adjustRightInd w:val="0"/>
        <w:snapToGrid w:val="0"/>
        <w:spacing w:line="360" w:lineRule="auto"/>
        <w:ind w:firstLine="640" w:firstLineChars="200"/>
        <w:jc w:val="left"/>
        <w:rPr>
          <w:rFonts w:ascii="宋体" w:hAnsi="宋体"/>
          <w:sz w:val="32"/>
          <w:szCs w:val="32"/>
          <w:u w:val="single"/>
        </w:rPr>
      </w:pPr>
      <w:r>
        <w:rPr>
          <w:rFonts w:hint="eastAsia" w:ascii="宋体" w:hAnsi="宋体"/>
          <w:sz w:val="32"/>
          <w:szCs w:val="32"/>
        </w:rPr>
        <w:t>工程地点：</w:t>
      </w:r>
      <w:r>
        <w:rPr>
          <w:rFonts w:hint="eastAsia" w:ascii="宋体" w:hAnsi="宋体"/>
          <w:sz w:val="32"/>
          <w:szCs w:val="32"/>
          <w:u w:val="single"/>
          <w:lang w:eastAsia="zh-CN"/>
        </w:rPr>
        <w:t>深圳市南山区白石路以南科苑路以东与高新南环</w:t>
      </w:r>
      <w:r>
        <w:rPr>
          <w:rFonts w:hint="eastAsia" w:ascii="宋体" w:hAnsi="宋体"/>
          <w:sz w:val="32"/>
          <w:szCs w:val="32"/>
          <w:u w:val="single"/>
          <w:lang w:val="en-US" w:eastAsia="zh-CN"/>
        </w:rPr>
        <w:t xml:space="preserve">   </w:t>
      </w:r>
      <w:r>
        <w:rPr>
          <w:rFonts w:hint="eastAsia" w:ascii="宋体" w:hAnsi="宋体"/>
          <w:sz w:val="32"/>
          <w:szCs w:val="32"/>
          <w:u w:val="single"/>
          <w:lang w:eastAsia="zh-CN"/>
        </w:rPr>
        <w:t>路交汇处</w:t>
      </w:r>
      <w:r>
        <w:rPr>
          <w:rFonts w:hint="eastAsia" w:ascii="宋体" w:hAnsi="宋体"/>
          <w:sz w:val="32"/>
          <w:szCs w:val="32"/>
          <w:u w:val="single"/>
        </w:rPr>
        <w:t xml:space="preserve"> </w:t>
      </w:r>
    </w:p>
    <w:p>
      <w:pPr>
        <w:adjustRightInd w:val="0"/>
        <w:snapToGrid w:val="0"/>
        <w:spacing w:line="360" w:lineRule="auto"/>
        <w:ind w:firstLine="640" w:firstLineChars="200"/>
        <w:jc w:val="left"/>
        <w:rPr>
          <w:rFonts w:ascii="宋体" w:hAnsi="宋体"/>
          <w:sz w:val="32"/>
          <w:szCs w:val="32"/>
        </w:rPr>
      </w:pPr>
      <w:r>
        <w:rPr>
          <w:rFonts w:hint="eastAsia" w:ascii="宋体" w:hAnsi="宋体"/>
          <w:sz w:val="32"/>
          <w:szCs w:val="32"/>
        </w:rPr>
        <w:t>甲    方：</w:t>
      </w:r>
      <w:r>
        <w:rPr>
          <w:rFonts w:hint="eastAsia" w:ascii="宋体" w:hAnsi="宋体"/>
          <w:sz w:val="32"/>
          <w:szCs w:val="32"/>
          <w:u w:val="single"/>
          <w:lang w:eastAsia="zh-CN"/>
        </w:rPr>
        <w:t>深圳北邮网络科技有限公司</w:t>
      </w:r>
      <w:r>
        <w:rPr>
          <w:rFonts w:hint="eastAsia" w:ascii="宋体" w:hAnsi="宋体"/>
          <w:sz w:val="32"/>
          <w:szCs w:val="32"/>
          <w:u w:val="single"/>
        </w:rPr>
        <w:t xml:space="preserve">      </w:t>
      </w:r>
    </w:p>
    <w:p>
      <w:pPr>
        <w:adjustRightInd w:val="0"/>
        <w:snapToGrid w:val="0"/>
        <w:spacing w:line="360" w:lineRule="auto"/>
        <w:ind w:firstLine="640" w:firstLineChars="200"/>
        <w:jc w:val="left"/>
        <w:rPr>
          <w:rFonts w:ascii="宋体" w:hAnsi="宋体"/>
          <w:sz w:val="32"/>
          <w:szCs w:val="32"/>
        </w:rPr>
      </w:pPr>
      <w:r>
        <w:rPr>
          <w:rFonts w:hint="eastAsia" w:ascii="宋体" w:hAnsi="宋体"/>
          <w:sz w:val="32"/>
          <w:szCs w:val="32"/>
        </w:rPr>
        <w:t>乙    方：</w:t>
      </w:r>
      <w:r>
        <w:rPr>
          <w:rFonts w:hint="eastAsia" w:ascii="宋体" w:hAnsi="宋体"/>
          <w:sz w:val="32"/>
          <w:szCs w:val="32"/>
          <w:u w:val="single"/>
        </w:rPr>
        <w:t xml:space="preserve">                                    </w:t>
      </w:r>
    </w:p>
    <w:p>
      <w:pPr>
        <w:adjustRightInd w:val="0"/>
        <w:snapToGrid w:val="0"/>
        <w:spacing w:line="360" w:lineRule="auto"/>
        <w:ind w:firstLine="640" w:firstLineChars="200"/>
        <w:jc w:val="left"/>
        <w:rPr>
          <w:rFonts w:ascii="宋体" w:hAnsi="宋体"/>
          <w:sz w:val="32"/>
          <w:szCs w:val="32"/>
        </w:rPr>
      </w:pPr>
      <w:r>
        <w:rPr>
          <w:rFonts w:hint="eastAsia" w:ascii="宋体" w:hAnsi="宋体"/>
          <w:sz w:val="32"/>
          <w:szCs w:val="32"/>
        </w:rPr>
        <w:t>合同签订日期：</w:t>
      </w:r>
      <w:r>
        <w:rPr>
          <w:rFonts w:hint="eastAsia" w:ascii="宋体" w:hAnsi="宋体"/>
          <w:sz w:val="32"/>
          <w:szCs w:val="32"/>
          <w:u w:val="single"/>
        </w:rPr>
        <w:t xml:space="preserve">                                </w:t>
      </w:r>
    </w:p>
    <w:p>
      <w:pPr>
        <w:spacing w:beforeLines="30" w:line="440" w:lineRule="exact"/>
        <w:ind w:firstLine="420" w:firstLineChars="200"/>
        <w:jc w:val="left"/>
        <w:rPr>
          <w:rFonts w:ascii="宋体" w:hAnsi="宋体"/>
          <w:sz w:val="24"/>
          <w:szCs w:val="24"/>
        </w:rPr>
      </w:pPr>
      <w:r>
        <w:rPr>
          <w:rFonts w:ascii="宋体" w:hAnsi="宋体"/>
          <w:szCs w:val="21"/>
        </w:rPr>
        <w:br w:type="page"/>
      </w:r>
      <w:r>
        <w:rPr>
          <w:rFonts w:hint="eastAsia" w:ascii="宋体" w:hAnsi="宋体"/>
          <w:sz w:val="24"/>
          <w:szCs w:val="24"/>
        </w:rPr>
        <w:t>工程委托方（</w:t>
      </w:r>
      <w:r>
        <w:rPr>
          <w:rFonts w:hint="eastAsia" w:ascii="宋体" w:hAnsi="宋体"/>
          <w:sz w:val="24"/>
          <w:szCs w:val="24"/>
          <w:lang w:eastAsia="zh-CN"/>
        </w:rPr>
        <w:t>发包人</w:t>
      </w:r>
      <w:r>
        <w:rPr>
          <w:rFonts w:hint="eastAsia" w:ascii="宋体" w:hAnsi="宋体"/>
          <w:sz w:val="24"/>
          <w:szCs w:val="24"/>
        </w:rPr>
        <w:t>）：</w:t>
      </w:r>
      <w:r>
        <w:rPr>
          <w:rFonts w:hint="eastAsia" w:ascii="宋体" w:hAnsi="宋体"/>
          <w:b/>
          <w:sz w:val="24"/>
          <w:szCs w:val="24"/>
          <w:u w:val="single"/>
          <w:lang w:eastAsia="zh-CN"/>
        </w:rPr>
        <w:t>深圳北邮网络科技有限公司</w:t>
      </w:r>
    </w:p>
    <w:p>
      <w:pPr>
        <w:spacing w:beforeLines="30" w:line="440" w:lineRule="exact"/>
        <w:ind w:firstLine="480" w:firstLineChars="200"/>
        <w:jc w:val="left"/>
        <w:rPr>
          <w:rFonts w:ascii="宋体" w:hAnsi="宋体"/>
          <w:sz w:val="24"/>
          <w:szCs w:val="24"/>
        </w:rPr>
      </w:pPr>
      <w:r>
        <w:rPr>
          <w:rFonts w:hint="eastAsia" w:ascii="宋体" w:hAnsi="宋体"/>
          <w:sz w:val="24"/>
          <w:szCs w:val="24"/>
        </w:rPr>
        <w:t>工程承接方（</w:t>
      </w:r>
      <w:r>
        <w:rPr>
          <w:rFonts w:hint="eastAsia" w:ascii="宋体" w:hAnsi="宋体"/>
          <w:sz w:val="24"/>
          <w:szCs w:val="24"/>
          <w:lang w:eastAsia="zh-CN"/>
        </w:rPr>
        <w:t>承包人</w:t>
      </w:r>
      <w:r>
        <w:rPr>
          <w:rFonts w:hint="eastAsia" w:ascii="宋体" w:hAnsi="宋体"/>
          <w:sz w:val="24"/>
          <w:szCs w:val="24"/>
        </w:rPr>
        <w:t>）：</w:t>
      </w:r>
      <w:r>
        <w:rPr>
          <w:rFonts w:hint="eastAsia" w:ascii="宋体" w:hAnsi="宋体"/>
          <w:sz w:val="24"/>
          <w:szCs w:val="24"/>
          <w:u w:val="single"/>
        </w:rPr>
        <w:t xml:space="preserve">                              </w:t>
      </w:r>
    </w:p>
    <w:p>
      <w:pPr>
        <w:spacing w:beforeLines="30" w:line="360" w:lineRule="auto"/>
        <w:ind w:firstLine="480" w:firstLineChars="200"/>
        <w:jc w:val="left"/>
        <w:rPr>
          <w:rFonts w:ascii="宋体" w:hAnsi="宋体"/>
          <w:sz w:val="24"/>
          <w:szCs w:val="24"/>
        </w:rPr>
      </w:pPr>
      <w:r>
        <w:rPr>
          <w:rFonts w:hint="eastAsia" w:ascii="宋体" w:hAnsi="宋体"/>
          <w:sz w:val="24"/>
          <w:szCs w:val="24"/>
        </w:rPr>
        <w:t>签订地点：深圳市</w:t>
      </w:r>
      <w:r>
        <w:rPr>
          <w:rFonts w:hint="eastAsia" w:ascii="宋体" w:hAnsi="宋体"/>
          <w:sz w:val="24"/>
          <w:szCs w:val="24"/>
          <w:lang w:eastAsia="zh-CN"/>
        </w:rPr>
        <w:t>南山区</w:t>
      </w:r>
    </w:p>
    <w:p>
      <w:pPr>
        <w:spacing w:line="360" w:lineRule="auto"/>
        <w:ind w:firstLine="480" w:firstLineChars="200"/>
        <w:rPr>
          <w:rFonts w:ascii="宋体" w:hAnsi="宋体"/>
          <w:szCs w:val="21"/>
        </w:rPr>
      </w:pPr>
      <w:r>
        <w:rPr>
          <w:rFonts w:hint="eastAsia" w:ascii="宋体" w:hAnsi="宋体"/>
          <w:sz w:val="24"/>
          <w:szCs w:val="24"/>
          <w:lang w:eastAsia="zh-CN"/>
        </w:rPr>
        <w:t>发包人</w:t>
      </w:r>
      <w:r>
        <w:rPr>
          <w:rFonts w:hint="eastAsia" w:ascii="宋体" w:hAnsi="宋体"/>
          <w:sz w:val="24"/>
          <w:szCs w:val="24"/>
        </w:rPr>
        <w:t>委托</w:t>
      </w:r>
      <w:r>
        <w:rPr>
          <w:rFonts w:hint="eastAsia" w:ascii="宋体" w:hAnsi="宋体"/>
          <w:sz w:val="24"/>
          <w:szCs w:val="24"/>
          <w:lang w:eastAsia="zh-CN"/>
        </w:rPr>
        <w:t>承包人</w:t>
      </w:r>
      <w:r>
        <w:rPr>
          <w:rFonts w:hint="eastAsia" w:ascii="宋体" w:hAnsi="宋体"/>
          <w:sz w:val="24"/>
          <w:szCs w:val="24"/>
        </w:rPr>
        <w:t>承担</w:t>
      </w:r>
      <w:r>
        <w:rPr>
          <w:rFonts w:hint="eastAsia" w:ascii="宋体" w:hAnsi="宋体"/>
          <w:sz w:val="24"/>
          <w:szCs w:val="24"/>
          <w:u w:val="single"/>
        </w:rPr>
        <w:t xml:space="preserve">   </w:t>
      </w:r>
      <w:r>
        <w:rPr>
          <w:rFonts w:hint="eastAsia" w:ascii="宋体" w:hAnsi="宋体"/>
          <w:b/>
          <w:sz w:val="24"/>
          <w:szCs w:val="24"/>
          <w:u w:val="single"/>
          <w:lang w:eastAsia="zh-CN"/>
        </w:rPr>
        <w:t>深圳北邮科技大厦</w:t>
      </w:r>
      <w:r>
        <w:rPr>
          <w:rFonts w:hint="eastAsia" w:ascii="宋体" w:hAnsi="宋体"/>
          <w:b/>
          <w:sz w:val="24"/>
          <w:szCs w:val="24"/>
          <w:u w:val="single"/>
        </w:rPr>
        <w:t xml:space="preserve">第三方监测及主体沉降观测  </w:t>
      </w:r>
      <w:r>
        <w:rPr>
          <w:rFonts w:hint="eastAsia" w:ascii="宋体" w:hAnsi="宋体"/>
          <w:sz w:val="24"/>
          <w:szCs w:val="24"/>
        </w:rPr>
        <w:t>任务。</w:t>
      </w:r>
    </w:p>
    <w:p>
      <w:pPr>
        <w:spacing w:beforeLines="30" w:line="360" w:lineRule="auto"/>
        <w:ind w:firstLine="480" w:firstLineChars="200"/>
        <w:jc w:val="left"/>
        <w:rPr>
          <w:rFonts w:ascii="宋体" w:hAnsi="宋体"/>
          <w:sz w:val="24"/>
          <w:szCs w:val="24"/>
        </w:rPr>
      </w:pPr>
      <w:r>
        <w:rPr>
          <w:rFonts w:hint="eastAsia" w:ascii="宋体" w:hAnsi="宋体"/>
          <w:sz w:val="24"/>
          <w:szCs w:val="24"/>
        </w:rPr>
        <w:t>根据《中华人民共和国合同法》、《中华人民共和国测绘法》、《深圳经济特区建设工程质量管理条例》及国家有关法律法规，结合本工程的具体情况，为明确责任，协作配合，确保工程监测质量，经</w:t>
      </w:r>
      <w:r>
        <w:rPr>
          <w:rFonts w:hint="eastAsia" w:ascii="宋体" w:hAnsi="宋体"/>
          <w:sz w:val="24"/>
          <w:szCs w:val="24"/>
          <w:lang w:eastAsia="zh-CN"/>
        </w:rPr>
        <w:t>发包人</w:t>
      </w:r>
      <w:r>
        <w:rPr>
          <w:rFonts w:hint="eastAsia" w:ascii="宋体" w:hAnsi="宋体"/>
          <w:sz w:val="24"/>
          <w:szCs w:val="24"/>
        </w:rPr>
        <w:t>、</w:t>
      </w:r>
      <w:r>
        <w:rPr>
          <w:rFonts w:hint="eastAsia" w:ascii="宋体" w:hAnsi="宋体"/>
          <w:sz w:val="24"/>
          <w:szCs w:val="24"/>
          <w:lang w:eastAsia="zh-CN"/>
        </w:rPr>
        <w:t>承包人</w:t>
      </w:r>
      <w:r>
        <w:rPr>
          <w:rFonts w:hint="eastAsia" w:ascii="宋体" w:hAnsi="宋体"/>
          <w:sz w:val="24"/>
          <w:szCs w:val="24"/>
        </w:rPr>
        <w:t>协商一致，签订本合同，共同遵守。</w:t>
      </w:r>
    </w:p>
    <w:p>
      <w:pPr>
        <w:spacing w:beforeLines="30" w:line="440" w:lineRule="exact"/>
        <w:ind w:left="440"/>
        <w:jc w:val="left"/>
        <w:rPr>
          <w:rFonts w:ascii="宋体" w:hAnsi="宋体"/>
          <w:sz w:val="24"/>
          <w:szCs w:val="24"/>
        </w:rPr>
      </w:pPr>
      <w:r>
        <w:rPr>
          <w:rFonts w:hint="eastAsia" w:ascii="宋体" w:hAnsi="宋体"/>
          <w:sz w:val="24"/>
          <w:szCs w:val="24"/>
        </w:rPr>
        <w:t>第一条  工程概况</w:t>
      </w:r>
    </w:p>
    <w:p>
      <w:pPr>
        <w:spacing w:beforeLines="30" w:line="440" w:lineRule="exact"/>
        <w:ind w:left="440"/>
        <w:jc w:val="left"/>
        <w:rPr>
          <w:rFonts w:ascii="宋体" w:hAnsi="宋体"/>
          <w:b/>
          <w:sz w:val="24"/>
          <w:szCs w:val="24"/>
          <w:u w:val="single"/>
        </w:rPr>
      </w:pPr>
      <w:r>
        <w:rPr>
          <w:rFonts w:hint="eastAsia" w:ascii="宋体" w:hAnsi="宋体"/>
          <w:sz w:val="24"/>
          <w:szCs w:val="24"/>
        </w:rPr>
        <w:t>1.1项目名称：</w:t>
      </w:r>
      <w:r>
        <w:rPr>
          <w:rFonts w:hint="eastAsia" w:ascii="宋体" w:hAnsi="宋体"/>
          <w:b/>
          <w:sz w:val="24"/>
          <w:szCs w:val="24"/>
          <w:u w:val="single"/>
          <w:lang w:eastAsia="zh-CN"/>
        </w:rPr>
        <w:t>深圳北邮科技大厦</w:t>
      </w:r>
      <w:r>
        <w:rPr>
          <w:rFonts w:hint="eastAsia" w:ascii="宋体" w:hAnsi="宋体"/>
          <w:b/>
          <w:sz w:val="24"/>
          <w:szCs w:val="24"/>
          <w:u w:val="single"/>
        </w:rPr>
        <w:t>第三方监测及主体沉降观测</w:t>
      </w:r>
    </w:p>
    <w:p>
      <w:pPr>
        <w:adjustRightInd w:val="0"/>
        <w:snapToGrid w:val="0"/>
        <w:spacing w:line="360" w:lineRule="auto"/>
        <w:ind w:firstLine="640" w:firstLineChars="200"/>
        <w:jc w:val="left"/>
        <w:rPr>
          <w:rFonts w:hint="eastAsia" w:ascii="宋体" w:hAnsi="宋体"/>
          <w:b/>
          <w:sz w:val="24"/>
          <w:szCs w:val="24"/>
          <w:u w:val="single"/>
          <w:lang w:eastAsia="zh-CN"/>
        </w:rPr>
      </w:pPr>
      <w:r>
        <w:rPr>
          <w:rFonts w:hint="eastAsia" w:ascii="宋体" w:hAnsi="宋体"/>
          <w:sz w:val="24"/>
          <w:szCs w:val="24"/>
        </w:rPr>
        <w:t>1.2项目地点：</w:t>
      </w:r>
      <w:r>
        <w:rPr>
          <w:rFonts w:hint="eastAsia" w:ascii="宋体" w:hAnsi="宋体"/>
          <w:b/>
          <w:sz w:val="24"/>
          <w:szCs w:val="24"/>
          <w:u w:val="single"/>
          <w:lang w:eastAsia="zh-CN"/>
        </w:rPr>
        <w:t>深圳市南山区白石路以南科苑路以东与高新南环路交汇处</w:t>
      </w:r>
    </w:p>
    <w:p>
      <w:pPr>
        <w:adjustRightInd w:val="0"/>
        <w:snapToGrid w:val="0"/>
        <w:spacing w:line="360" w:lineRule="auto"/>
        <w:ind w:firstLine="640" w:firstLineChars="200"/>
        <w:jc w:val="left"/>
        <w:rPr>
          <w:rFonts w:ascii="宋体" w:hAnsi="宋体"/>
          <w:sz w:val="24"/>
          <w:szCs w:val="24"/>
          <w:u w:val="single"/>
        </w:rPr>
      </w:pPr>
      <w:r>
        <w:rPr>
          <w:rFonts w:hint="eastAsia" w:ascii="宋体" w:hAnsi="宋体"/>
          <w:sz w:val="24"/>
          <w:szCs w:val="24"/>
        </w:rPr>
        <w:t>1.3项目概况：</w:t>
      </w:r>
      <w:r>
        <w:rPr>
          <w:rFonts w:hint="eastAsia" w:ascii="宋体" w:hAnsi="宋体"/>
          <w:b/>
          <w:sz w:val="24"/>
          <w:szCs w:val="24"/>
          <w:u w:val="single"/>
          <w:lang w:eastAsia="zh-CN"/>
        </w:rPr>
        <w:t>深圳北邮科技大厦</w:t>
      </w:r>
      <w:r>
        <w:rPr>
          <w:rFonts w:hint="eastAsia" w:ascii="宋体" w:hAnsi="宋体"/>
          <w:b/>
          <w:sz w:val="24"/>
          <w:szCs w:val="24"/>
          <w:u w:val="single"/>
        </w:rPr>
        <w:t>占地面积约</w:t>
      </w:r>
      <w:r>
        <w:rPr>
          <w:rFonts w:hint="eastAsia" w:ascii="宋体" w:hAnsi="宋体"/>
          <w:b/>
          <w:sz w:val="24"/>
          <w:szCs w:val="24"/>
          <w:u w:val="single"/>
          <w:lang w:val="en-US" w:eastAsia="zh-CN"/>
        </w:rPr>
        <w:t>3133.91</w:t>
      </w:r>
      <w:r>
        <w:rPr>
          <w:rFonts w:hint="eastAsia" w:ascii="宋体" w:hAnsi="宋体"/>
          <w:b/>
          <w:sz w:val="24"/>
          <w:szCs w:val="24"/>
          <w:u w:val="single"/>
        </w:rPr>
        <w:t>m2，基坑支护工程基坑开挖深度约</w:t>
      </w:r>
      <w:r>
        <w:rPr>
          <w:rFonts w:hint="eastAsia" w:ascii="宋体" w:hAnsi="宋体"/>
          <w:b/>
          <w:sz w:val="24"/>
          <w:szCs w:val="24"/>
          <w:u w:val="single"/>
          <w:lang w:val="en-US" w:eastAsia="zh-CN"/>
        </w:rPr>
        <w:t>14.8</w:t>
      </w:r>
      <w:r>
        <w:rPr>
          <w:rFonts w:hint="eastAsia" w:ascii="宋体" w:hAnsi="宋体"/>
          <w:b/>
          <w:sz w:val="24"/>
          <w:szCs w:val="24"/>
          <w:u w:val="single"/>
        </w:rPr>
        <w:t>米。本项目建筑面积约</w:t>
      </w:r>
      <w:r>
        <w:rPr>
          <w:rFonts w:hint="eastAsia" w:ascii="宋体" w:hAnsi="宋体"/>
          <w:b/>
          <w:sz w:val="24"/>
          <w:szCs w:val="24"/>
          <w:u w:val="single"/>
          <w:lang w:val="en-US" w:eastAsia="zh-CN"/>
        </w:rPr>
        <w:t>42484.8</w:t>
      </w:r>
      <w:r>
        <w:rPr>
          <w:rFonts w:hint="eastAsia" w:ascii="宋体" w:hAnsi="宋体"/>
          <w:b/>
          <w:sz w:val="24"/>
          <w:szCs w:val="24"/>
          <w:u w:val="single"/>
        </w:rPr>
        <w:t>万平方米，地下</w:t>
      </w:r>
      <w:r>
        <w:rPr>
          <w:rFonts w:hint="eastAsia" w:ascii="宋体" w:hAnsi="宋体"/>
          <w:b/>
          <w:sz w:val="24"/>
          <w:szCs w:val="24"/>
          <w:u w:val="single"/>
          <w:lang w:val="en-US" w:eastAsia="zh-CN"/>
        </w:rPr>
        <w:t>3</w:t>
      </w:r>
      <w:r>
        <w:rPr>
          <w:rFonts w:hint="eastAsia" w:ascii="宋体" w:hAnsi="宋体"/>
          <w:b/>
          <w:sz w:val="24"/>
          <w:szCs w:val="24"/>
          <w:u w:val="single"/>
        </w:rPr>
        <w:t>层，地上</w:t>
      </w:r>
      <w:r>
        <w:rPr>
          <w:rFonts w:hint="eastAsia" w:ascii="宋体" w:hAnsi="宋体"/>
          <w:b/>
          <w:sz w:val="24"/>
          <w:szCs w:val="24"/>
          <w:u w:val="single"/>
          <w:lang w:val="en-US" w:eastAsia="zh-CN"/>
        </w:rPr>
        <w:t>22</w:t>
      </w:r>
      <w:r>
        <w:rPr>
          <w:rFonts w:hint="eastAsia" w:ascii="宋体" w:hAnsi="宋体"/>
          <w:b/>
          <w:sz w:val="24"/>
          <w:szCs w:val="24"/>
          <w:u w:val="single"/>
        </w:rPr>
        <w:t>层。基坑监测包括支护桩水平、沉降位移观测、深层测斜孔、桩身应力计、水位监测孔、周边建筑物沉降观测等。施工过程进行主体沉降观测。</w:t>
      </w:r>
    </w:p>
    <w:p>
      <w:pPr>
        <w:spacing w:beforeLines="30" w:line="440" w:lineRule="exact"/>
        <w:ind w:left="440"/>
        <w:jc w:val="left"/>
        <w:rPr>
          <w:rFonts w:ascii="宋体" w:hAnsi="宋体"/>
          <w:b/>
          <w:sz w:val="24"/>
          <w:szCs w:val="24"/>
          <w:u w:val="single"/>
        </w:rPr>
      </w:pPr>
      <w:r>
        <w:rPr>
          <w:rFonts w:hint="eastAsia" w:ascii="宋体" w:hAnsi="宋体"/>
          <w:sz w:val="24"/>
          <w:szCs w:val="24"/>
        </w:rPr>
        <w:t>1.4资金来源：</w:t>
      </w:r>
      <w:r>
        <w:rPr>
          <w:rFonts w:hint="eastAsia" w:ascii="宋体" w:hAnsi="宋体"/>
          <w:b/>
          <w:sz w:val="24"/>
          <w:szCs w:val="24"/>
          <w:u w:val="single"/>
          <w:lang w:eastAsia="zh-CN"/>
        </w:rPr>
        <w:t>国有</w:t>
      </w:r>
      <w:r>
        <w:rPr>
          <w:rFonts w:hint="eastAsia" w:ascii="宋体" w:hAnsi="宋体"/>
          <w:b/>
          <w:sz w:val="24"/>
          <w:szCs w:val="24"/>
          <w:u w:val="single"/>
        </w:rPr>
        <w:t xml:space="preserve">投资100%   </w:t>
      </w:r>
    </w:p>
    <w:p>
      <w:pPr>
        <w:spacing w:beforeLines="30" w:line="440" w:lineRule="exact"/>
        <w:ind w:left="440"/>
        <w:jc w:val="left"/>
        <w:rPr>
          <w:rFonts w:ascii="宋体" w:hAnsi="宋体"/>
          <w:sz w:val="24"/>
          <w:szCs w:val="24"/>
        </w:rPr>
      </w:pPr>
      <w:r>
        <w:rPr>
          <w:rFonts w:hint="eastAsia" w:ascii="宋体" w:hAnsi="宋体"/>
          <w:sz w:val="24"/>
          <w:szCs w:val="24"/>
        </w:rPr>
        <w:t>第二条  工程内容及范围</w:t>
      </w:r>
    </w:p>
    <w:p>
      <w:pPr>
        <w:spacing w:beforeLines="30" w:line="440" w:lineRule="exact"/>
        <w:ind w:firstLine="480" w:firstLineChars="200"/>
        <w:jc w:val="left"/>
        <w:rPr>
          <w:rFonts w:ascii="宋体" w:hAnsi="宋体"/>
          <w:b/>
          <w:sz w:val="24"/>
          <w:szCs w:val="24"/>
          <w:u w:val="single"/>
        </w:rPr>
      </w:pPr>
      <w:r>
        <w:rPr>
          <w:rFonts w:hint="eastAsia" w:ascii="宋体" w:hAnsi="宋体"/>
          <w:sz w:val="24"/>
          <w:szCs w:val="24"/>
        </w:rPr>
        <w:t>2.1工作内容：</w:t>
      </w:r>
      <w:r>
        <w:rPr>
          <w:rFonts w:hint="eastAsia" w:ascii="宋体" w:hAnsi="宋体"/>
          <w:b/>
          <w:sz w:val="24"/>
          <w:szCs w:val="24"/>
          <w:u w:val="single"/>
        </w:rPr>
        <w:t>包括但不限于以下内容：</w:t>
      </w:r>
    </w:p>
    <w:p>
      <w:pPr>
        <w:numPr>
          <w:ilvl w:val="0"/>
          <w:numId w:val="6"/>
        </w:numPr>
        <w:spacing w:beforeLines="30" w:line="440" w:lineRule="exact"/>
        <w:ind w:firstLine="482" w:firstLineChars="200"/>
        <w:jc w:val="left"/>
        <w:rPr>
          <w:rFonts w:hint="eastAsia" w:ascii="宋体" w:hAnsi="宋体"/>
          <w:b/>
          <w:sz w:val="24"/>
          <w:szCs w:val="24"/>
          <w:u w:val="single"/>
        </w:rPr>
      </w:pPr>
      <w:r>
        <w:rPr>
          <w:rFonts w:hint="eastAsia" w:ascii="宋体" w:hAnsi="宋体"/>
          <w:b/>
          <w:sz w:val="24"/>
          <w:szCs w:val="24"/>
          <w:u w:val="single"/>
        </w:rPr>
        <w:t>基坑支护监测；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00" w:leftChars="0" w:right="0" w:rightChars="0"/>
        <w:jc w:val="both"/>
        <w:textAlignment w:val="auto"/>
        <w:outlineLvl w:val="9"/>
        <w:rPr>
          <w:rFonts w:hint="eastAsia" w:hAnsi="宋体"/>
          <w:sz w:val="24"/>
        </w:rPr>
      </w:pPr>
      <w:r>
        <w:rPr>
          <w:rFonts w:hint="eastAsia" w:hAnsi="宋体"/>
          <w:sz w:val="24"/>
          <w:lang w:val="en-US" w:eastAsia="zh-CN"/>
        </w:rPr>
        <w:t>a、</w:t>
      </w:r>
      <w:r>
        <w:rPr>
          <w:rFonts w:hAnsi="宋体"/>
          <w:sz w:val="24"/>
        </w:rPr>
        <w:t>监测项目</w:t>
      </w:r>
      <w:r>
        <w:rPr>
          <w:rFonts w:hint="eastAsia" w:hAnsi="宋体"/>
          <w:sz w:val="24"/>
        </w:rPr>
        <w:t>及监测方法（元件）</w:t>
      </w:r>
    </w:p>
    <w:p>
      <w:pPr>
        <w:numPr>
          <w:ilvl w:val="0"/>
          <w:numId w:val="2"/>
        </w:numPr>
        <w:spacing w:line="360" w:lineRule="auto"/>
        <w:ind w:firstLine="480" w:firstLineChars="200"/>
        <w:rPr>
          <w:rFonts w:hAnsi="宋体"/>
          <w:sz w:val="24"/>
        </w:rPr>
      </w:pPr>
      <w:r>
        <w:rPr>
          <w:rFonts w:hint="eastAsia" w:hAnsi="宋体"/>
          <w:sz w:val="24"/>
          <w:lang w:eastAsia="zh-CN"/>
        </w:rPr>
        <w:t>桩</w:t>
      </w:r>
      <w:r>
        <w:rPr>
          <w:rFonts w:hAnsi="宋体"/>
          <w:sz w:val="24"/>
        </w:rPr>
        <w:t>顶水平位移</w:t>
      </w:r>
      <w:r>
        <w:rPr>
          <w:rFonts w:hint="eastAsia" w:hAnsi="宋体"/>
          <w:sz w:val="24"/>
        </w:rPr>
        <w:t>采用全站仪观测</w:t>
      </w:r>
      <w:r>
        <w:rPr>
          <w:rFonts w:hAnsi="宋体"/>
          <w:sz w:val="24"/>
        </w:rPr>
        <w:t>；</w:t>
      </w:r>
    </w:p>
    <w:p>
      <w:pPr>
        <w:numPr>
          <w:ilvl w:val="0"/>
          <w:numId w:val="2"/>
        </w:numPr>
        <w:spacing w:line="360" w:lineRule="auto"/>
        <w:ind w:firstLine="480" w:firstLineChars="200"/>
        <w:rPr>
          <w:rFonts w:hAnsi="宋体"/>
          <w:sz w:val="24"/>
        </w:rPr>
      </w:pPr>
      <w:r>
        <w:rPr>
          <w:rFonts w:hint="eastAsia" w:hAnsi="宋体"/>
          <w:sz w:val="24"/>
          <w:lang w:eastAsia="zh-CN"/>
        </w:rPr>
        <w:t>桩顶竖向位移</w:t>
      </w:r>
      <w:r>
        <w:rPr>
          <w:rFonts w:hint="eastAsia" w:hAnsi="宋体"/>
          <w:sz w:val="24"/>
        </w:rPr>
        <w:t>采用水准仪观测</w:t>
      </w:r>
      <w:r>
        <w:rPr>
          <w:rFonts w:hAnsi="宋体"/>
          <w:sz w:val="24"/>
        </w:rPr>
        <w:t>；</w:t>
      </w:r>
    </w:p>
    <w:p>
      <w:pPr>
        <w:numPr>
          <w:ilvl w:val="0"/>
          <w:numId w:val="2"/>
        </w:numPr>
        <w:spacing w:line="360" w:lineRule="auto"/>
        <w:ind w:firstLine="480" w:firstLineChars="200"/>
        <w:rPr>
          <w:rFonts w:hAnsi="宋体"/>
          <w:sz w:val="24"/>
        </w:rPr>
      </w:pPr>
      <w:r>
        <w:rPr>
          <w:rFonts w:hint="eastAsia" w:hAnsi="宋体"/>
          <w:sz w:val="24"/>
          <w:lang w:eastAsia="zh-CN"/>
        </w:rPr>
        <w:t>深层</w:t>
      </w:r>
      <w:r>
        <w:rPr>
          <w:rFonts w:hint="eastAsia" w:hAnsi="宋体"/>
          <w:sz w:val="24"/>
        </w:rPr>
        <w:t>水平位移采用测斜仪观测；</w:t>
      </w:r>
    </w:p>
    <w:p>
      <w:pPr>
        <w:numPr>
          <w:ilvl w:val="0"/>
          <w:numId w:val="2"/>
        </w:numPr>
        <w:spacing w:line="360" w:lineRule="auto"/>
        <w:ind w:firstLine="480" w:firstLineChars="200"/>
        <w:rPr>
          <w:rFonts w:hAnsi="宋体"/>
          <w:sz w:val="24"/>
        </w:rPr>
      </w:pPr>
      <w:r>
        <w:rPr>
          <w:rFonts w:hint="eastAsia" w:hAnsi="宋体"/>
          <w:sz w:val="24"/>
          <w:lang w:eastAsia="zh-CN"/>
        </w:rPr>
        <w:t>基坑周边地表沉降、管线沉降</w:t>
      </w:r>
      <w:r>
        <w:rPr>
          <w:rFonts w:hint="eastAsia" w:hAnsi="宋体"/>
          <w:sz w:val="24"/>
        </w:rPr>
        <w:t>、</w:t>
      </w:r>
      <w:r>
        <w:rPr>
          <w:rFonts w:hint="eastAsia" w:hAnsi="宋体"/>
          <w:sz w:val="24"/>
          <w:lang w:eastAsia="zh-CN"/>
        </w:rPr>
        <w:t>建筑物沉降及</w:t>
      </w:r>
      <w:r>
        <w:rPr>
          <w:rFonts w:hint="eastAsia" w:hAnsi="宋体"/>
          <w:sz w:val="24"/>
        </w:rPr>
        <w:t>道路</w:t>
      </w:r>
      <w:r>
        <w:rPr>
          <w:rFonts w:hint="eastAsia" w:hAnsi="宋体"/>
          <w:sz w:val="24"/>
          <w:lang w:eastAsia="zh-CN"/>
        </w:rPr>
        <w:t>沉降</w:t>
      </w:r>
      <w:r>
        <w:rPr>
          <w:rFonts w:hint="eastAsia" w:hAnsi="宋体"/>
          <w:sz w:val="24"/>
        </w:rPr>
        <w:t>采用水准仪观测</w:t>
      </w:r>
      <w:r>
        <w:rPr>
          <w:rFonts w:hAnsi="宋体"/>
          <w:sz w:val="24"/>
        </w:rPr>
        <w:t>；</w:t>
      </w:r>
    </w:p>
    <w:p>
      <w:pPr>
        <w:numPr>
          <w:ilvl w:val="0"/>
          <w:numId w:val="2"/>
        </w:numPr>
        <w:spacing w:line="360" w:lineRule="auto"/>
        <w:ind w:firstLine="480" w:firstLineChars="200"/>
        <w:rPr>
          <w:rFonts w:hAnsi="宋体"/>
          <w:sz w:val="24"/>
        </w:rPr>
      </w:pPr>
      <w:r>
        <w:rPr>
          <w:rFonts w:hint="eastAsia" w:hAnsi="宋体"/>
          <w:sz w:val="24"/>
          <w:lang w:eastAsia="zh-CN"/>
        </w:rPr>
        <w:t>锚索内力值采用盒式测力计观测；</w:t>
      </w:r>
    </w:p>
    <w:p>
      <w:pPr>
        <w:numPr>
          <w:ilvl w:val="0"/>
          <w:numId w:val="2"/>
        </w:numPr>
        <w:spacing w:line="360" w:lineRule="auto"/>
        <w:ind w:firstLine="480" w:firstLineChars="200"/>
        <w:rPr>
          <w:rFonts w:hAnsi="宋体"/>
          <w:sz w:val="24"/>
        </w:rPr>
      </w:pPr>
      <w:r>
        <w:rPr>
          <w:rFonts w:hint="eastAsia" w:hAnsi="宋体"/>
          <w:sz w:val="24"/>
        </w:rPr>
        <w:t>基坑周边地下水位采用水位观测井观测</w:t>
      </w:r>
      <w:r>
        <w:rPr>
          <w:rFonts w:hint="eastAsia" w:hAnsi="宋体"/>
          <w:sz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00" w:leftChars="0" w:right="0" w:rightChars="0"/>
        <w:jc w:val="both"/>
        <w:textAlignment w:val="auto"/>
        <w:outlineLvl w:val="9"/>
        <w:rPr>
          <w:rFonts w:hint="eastAsia"/>
          <w:sz w:val="24"/>
        </w:rPr>
      </w:pPr>
      <w:r>
        <w:rPr>
          <w:rFonts w:hint="eastAsia" w:hAnsi="宋体"/>
          <w:sz w:val="24"/>
          <w:lang w:val="en-US" w:eastAsia="zh-CN"/>
        </w:rPr>
        <w:t>b、</w:t>
      </w:r>
      <w:r>
        <w:rPr>
          <w:rFonts w:hAnsi="宋体"/>
          <w:sz w:val="24"/>
        </w:rPr>
        <w:t>监测点布置</w:t>
      </w:r>
    </w:p>
    <w:p>
      <w:pPr>
        <w:spacing w:line="360" w:lineRule="auto"/>
        <w:ind w:firstLine="480" w:firstLineChars="200"/>
        <w:rPr>
          <w:rFonts w:hint="eastAsia"/>
          <w:sz w:val="24"/>
        </w:rPr>
      </w:pPr>
      <w:r>
        <w:rPr>
          <w:rFonts w:hint="eastAsia" w:hAnsi="宋体"/>
          <w:sz w:val="24"/>
          <w:lang w:eastAsia="zh-CN"/>
        </w:rPr>
        <w:t>桩顶水平位移及竖向位移监测点布置间距约</w:t>
      </w:r>
      <w:r>
        <w:rPr>
          <w:rFonts w:hint="eastAsia" w:hAnsi="宋体"/>
          <w:sz w:val="24"/>
          <w:lang w:val="en-US" w:eastAsia="zh-CN"/>
        </w:rPr>
        <w:t>15m，共用一个测点；</w:t>
      </w:r>
      <w:r>
        <w:rPr>
          <w:rFonts w:hint="eastAsia" w:hAnsi="宋体"/>
          <w:sz w:val="24"/>
        </w:rPr>
        <w:t>基坑周</w:t>
      </w:r>
      <w:r>
        <w:rPr>
          <w:rFonts w:hint="eastAsia" w:hAnsi="宋体"/>
          <w:sz w:val="24"/>
          <w:lang w:eastAsia="zh-CN"/>
        </w:rPr>
        <w:t>边地表</w:t>
      </w:r>
      <w:r>
        <w:rPr>
          <w:rFonts w:hint="eastAsia" w:hAnsi="宋体"/>
          <w:sz w:val="24"/>
        </w:rPr>
        <w:t>沉降监测点</w:t>
      </w:r>
      <w:r>
        <w:rPr>
          <w:rFonts w:hint="eastAsia" w:hAnsi="宋体"/>
          <w:sz w:val="24"/>
          <w:lang w:eastAsia="zh-CN"/>
        </w:rPr>
        <w:t>布置间距约</w:t>
      </w:r>
      <w:r>
        <w:rPr>
          <w:rFonts w:hint="eastAsia" w:hAnsi="宋体"/>
          <w:sz w:val="24"/>
          <w:lang w:val="en-US" w:eastAsia="zh-CN"/>
        </w:rPr>
        <w:t>15m；基坑周边道路沉降监测点布置间距约15m；基坑周边管线沉降监测点布置间距约15m，由</w:t>
      </w:r>
      <w:r>
        <w:rPr>
          <w:rFonts w:hint="eastAsia"/>
          <w:szCs w:val="21"/>
        </w:rPr>
        <w:t>监测单位根据管线实际情况布置</w:t>
      </w:r>
      <w:r>
        <w:rPr>
          <w:rFonts w:hint="eastAsia" w:hAnsi="宋体"/>
          <w:sz w:val="24"/>
        </w:rPr>
        <w:t>。</w:t>
      </w:r>
      <w:r>
        <w:rPr>
          <w:rFonts w:hint="eastAsia" w:hAnsi="宋体"/>
          <w:sz w:val="24"/>
          <w:lang w:eastAsia="zh-CN"/>
        </w:rPr>
        <w:t>其他项目详见</w:t>
      </w:r>
      <w:r>
        <w:rPr>
          <w:rFonts w:hint="eastAsia" w:hAnsi="宋体"/>
          <w:sz w:val="24"/>
        </w:rPr>
        <w:t>监测平面布置图。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00" w:leftChars="0" w:right="0" w:rightChars="0"/>
        <w:jc w:val="both"/>
        <w:textAlignment w:val="auto"/>
        <w:outlineLvl w:val="9"/>
        <w:rPr>
          <w:rFonts w:hint="eastAsia"/>
          <w:sz w:val="24"/>
        </w:rPr>
      </w:pPr>
      <w:r>
        <w:rPr>
          <w:rFonts w:hint="eastAsia" w:hAnsi="宋体"/>
          <w:sz w:val="24"/>
          <w:lang w:val="en-US" w:eastAsia="zh-CN"/>
        </w:rPr>
        <w:t>C、</w:t>
      </w:r>
      <w:r>
        <w:rPr>
          <w:rFonts w:hAnsi="宋体"/>
          <w:sz w:val="24"/>
        </w:rPr>
        <w:t>监测频率</w:t>
      </w:r>
    </w:p>
    <w:p>
      <w:pPr>
        <w:spacing w:line="360" w:lineRule="auto"/>
        <w:ind w:firstLine="480" w:firstLineChars="200"/>
        <w:rPr>
          <w:rFonts w:hint="eastAsia" w:ascii="宋体" w:hAnsi="宋体"/>
          <w:b/>
          <w:sz w:val="24"/>
          <w:szCs w:val="24"/>
          <w:u w:val="single"/>
        </w:rPr>
      </w:pPr>
      <w:r>
        <w:rPr>
          <w:rFonts w:hint="eastAsia" w:hAnsi="宋体"/>
          <w:sz w:val="24"/>
        </w:rPr>
        <w:t>监测周期应从基坑围护结构施工开始，直至基坑回填至地面标高为止。变形观测点应在布点</w:t>
      </w:r>
      <w:r>
        <w:rPr>
          <w:rFonts w:hint="eastAsia" w:hAnsi="宋体"/>
          <w:sz w:val="24"/>
          <w:lang w:eastAsia="zh-CN"/>
        </w:rPr>
        <w:t>时</w:t>
      </w:r>
      <w:r>
        <w:rPr>
          <w:rFonts w:hint="eastAsia" w:hAnsi="宋体"/>
          <w:sz w:val="24"/>
        </w:rPr>
        <w:t>读取初始值，变形观测应在基坑开挖当日起实施。监测频率：基坑开挖期间</w:t>
      </w:r>
      <w:r>
        <w:rPr>
          <w:rFonts w:hint="eastAsia"/>
          <w:sz w:val="24"/>
        </w:rPr>
        <w:t>1</w:t>
      </w:r>
      <w:r>
        <w:rPr>
          <w:rFonts w:hint="eastAsia" w:hAnsi="宋体"/>
          <w:sz w:val="24"/>
        </w:rPr>
        <w:t>～</w:t>
      </w:r>
      <w:r>
        <w:rPr>
          <w:rFonts w:hint="eastAsia"/>
          <w:sz w:val="24"/>
        </w:rPr>
        <w:t>2</w:t>
      </w:r>
      <w:r>
        <w:rPr>
          <w:rFonts w:hint="eastAsia" w:hAnsi="宋体"/>
          <w:sz w:val="24"/>
        </w:rPr>
        <w:t>天观测一次，</w:t>
      </w:r>
      <w:r>
        <w:rPr>
          <w:rFonts w:hAnsi="宋体"/>
          <w:sz w:val="24"/>
        </w:rPr>
        <w:t>基坑开挖完成一周后</w:t>
      </w:r>
      <w:r>
        <w:rPr>
          <w:sz w:val="24"/>
        </w:rPr>
        <w:t>3</w:t>
      </w:r>
      <w:r>
        <w:rPr>
          <w:rFonts w:hint="eastAsia" w:hAnsi="宋体"/>
          <w:sz w:val="24"/>
        </w:rPr>
        <w:t>～</w:t>
      </w:r>
      <w:r>
        <w:rPr>
          <w:sz w:val="24"/>
        </w:rPr>
        <w:t>5</w:t>
      </w:r>
      <w:r>
        <w:rPr>
          <w:rFonts w:hAnsi="宋体"/>
          <w:sz w:val="24"/>
        </w:rPr>
        <w:t>天一次</w:t>
      </w:r>
      <w:r>
        <w:rPr>
          <w:rFonts w:hint="eastAsia" w:hAnsi="宋体"/>
          <w:sz w:val="24"/>
        </w:rPr>
        <w:t>，</w:t>
      </w:r>
      <w:r>
        <w:rPr>
          <w:rFonts w:hAnsi="宋体"/>
          <w:sz w:val="24"/>
        </w:rPr>
        <w:t>完成一个月后</w:t>
      </w:r>
      <w:r>
        <w:rPr>
          <w:sz w:val="24"/>
        </w:rPr>
        <w:t>7</w:t>
      </w:r>
      <w:r>
        <w:rPr>
          <w:rFonts w:hint="eastAsia" w:hAnsi="宋体"/>
          <w:sz w:val="24"/>
        </w:rPr>
        <w:t>～</w:t>
      </w:r>
      <w:r>
        <w:rPr>
          <w:sz w:val="24"/>
        </w:rPr>
        <w:t>10</w:t>
      </w:r>
      <w:r>
        <w:rPr>
          <w:rFonts w:hAnsi="宋体"/>
          <w:sz w:val="24"/>
        </w:rPr>
        <w:t>天一次</w:t>
      </w:r>
      <w:r>
        <w:rPr>
          <w:rFonts w:hint="eastAsia" w:hAnsi="宋体"/>
          <w:sz w:val="24"/>
        </w:rPr>
        <w:t>。</w:t>
      </w:r>
      <w:r>
        <w:rPr>
          <w:rFonts w:hAnsi="宋体"/>
          <w:sz w:val="24"/>
        </w:rPr>
        <w:t>遇到</w:t>
      </w:r>
      <w:r>
        <w:rPr>
          <w:rFonts w:hint="eastAsia" w:hAnsi="宋体"/>
          <w:sz w:val="24"/>
        </w:rPr>
        <w:t>大暴雨或</w:t>
      </w:r>
      <w:r>
        <w:rPr>
          <w:rFonts w:hAnsi="宋体"/>
          <w:sz w:val="24"/>
        </w:rPr>
        <w:t>监测数据异常</w:t>
      </w:r>
      <w:r>
        <w:rPr>
          <w:rFonts w:hint="eastAsia" w:hAnsi="宋体"/>
          <w:sz w:val="24"/>
        </w:rPr>
        <w:t>或</w:t>
      </w:r>
      <w:r>
        <w:rPr>
          <w:rFonts w:hAnsi="宋体"/>
          <w:sz w:val="24"/>
        </w:rPr>
        <w:t>有加速趋势时应适当加密监测次数，并速报有关单位。</w:t>
      </w:r>
      <w:r>
        <w:rPr>
          <w:rFonts w:hint="eastAsia" w:hAnsi="宋体"/>
          <w:sz w:val="24"/>
        </w:rPr>
        <w:t>另外应安排专人对基坑周边</w:t>
      </w:r>
      <w:r>
        <w:rPr>
          <w:rFonts w:hint="eastAsia" w:hAnsi="宋体"/>
          <w:sz w:val="24"/>
          <w:lang w:eastAsia="zh-CN"/>
        </w:rPr>
        <w:t>采取</w:t>
      </w:r>
      <w:r>
        <w:rPr>
          <w:rFonts w:hint="eastAsia" w:hAnsi="宋体"/>
          <w:sz w:val="24"/>
        </w:rPr>
        <w:t>巡查</w:t>
      </w:r>
      <w:r>
        <w:rPr>
          <w:rFonts w:hint="eastAsia" w:hAnsi="宋体"/>
          <w:sz w:val="24"/>
          <w:lang w:eastAsia="zh-CN"/>
        </w:rPr>
        <w:t>、</w:t>
      </w:r>
      <w:r>
        <w:rPr>
          <w:rFonts w:hint="eastAsia" w:hAnsi="宋体"/>
          <w:sz w:val="24"/>
        </w:rPr>
        <w:t>目测等辅助形式对基坑变形进行全面掌握和监控。</w:t>
      </w:r>
    </w:p>
    <w:p>
      <w:pPr>
        <w:numPr>
          <w:ilvl w:val="0"/>
          <w:numId w:val="0"/>
        </w:numPr>
        <w:spacing w:beforeLines="30" w:line="440" w:lineRule="exact"/>
        <w:jc w:val="left"/>
        <w:rPr>
          <w:rFonts w:hint="eastAsia" w:ascii="宋体" w:hAnsi="宋体"/>
          <w:b/>
          <w:sz w:val="24"/>
          <w:szCs w:val="24"/>
          <w:u w:val="single"/>
        </w:rPr>
      </w:pPr>
      <w:r>
        <w:rPr>
          <w:rFonts w:hint="eastAsia" w:ascii="宋体" w:hAnsi="宋体"/>
          <w:b/>
          <w:sz w:val="24"/>
          <w:szCs w:val="24"/>
          <w:u w:val="none"/>
          <w:lang w:val="en-US" w:eastAsia="zh-CN"/>
        </w:rPr>
        <w:t xml:space="preserve">    </w:t>
      </w:r>
      <w:r>
        <w:rPr>
          <w:rFonts w:hint="eastAsia" w:ascii="宋体" w:hAnsi="宋体"/>
          <w:b/>
          <w:sz w:val="24"/>
          <w:szCs w:val="24"/>
          <w:u w:val="none"/>
          <w:lang w:eastAsia="zh-CN"/>
        </w:rPr>
        <w:t>（</w:t>
      </w:r>
      <w:r>
        <w:rPr>
          <w:rFonts w:hint="eastAsia" w:ascii="宋体" w:hAnsi="宋体"/>
          <w:b/>
          <w:sz w:val="24"/>
          <w:szCs w:val="24"/>
          <w:u w:val="none"/>
          <w:lang w:val="en-US" w:eastAsia="zh-CN"/>
        </w:rPr>
        <w:t>2</w:t>
      </w:r>
      <w:r>
        <w:rPr>
          <w:rFonts w:hint="eastAsia" w:ascii="宋体" w:hAnsi="宋体"/>
          <w:b/>
          <w:sz w:val="24"/>
          <w:szCs w:val="24"/>
          <w:u w:val="none"/>
          <w:lang w:eastAsia="zh-CN"/>
        </w:rPr>
        <w:t>）</w:t>
      </w:r>
      <w:r>
        <w:rPr>
          <w:rFonts w:hint="eastAsia" w:ascii="宋体" w:hAnsi="宋体"/>
          <w:b/>
          <w:sz w:val="24"/>
          <w:szCs w:val="24"/>
          <w:u w:val="single"/>
        </w:rPr>
        <w:t>主体沉降观测；</w:t>
      </w:r>
    </w:p>
    <w:p>
      <w:pPr>
        <w:numPr>
          <w:ilvl w:val="0"/>
          <w:numId w:val="7"/>
        </w:numPr>
        <w:spacing w:beforeLines="30" w:line="440" w:lineRule="exact"/>
        <w:jc w:val="left"/>
        <w:rPr>
          <w:rFonts w:hint="eastAsia" w:ascii="宋体" w:hAnsi="宋体"/>
          <w:b w:val="0"/>
          <w:bCs/>
          <w:sz w:val="24"/>
          <w:szCs w:val="24"/>
          <w:u w:val="none"/>
          <w:lang w:val="en-US" w:eastAsia="zh-CN"/>
        </w:rPr>
      </w:pPr>
      <w:r>
        <w:rPr>
          <w:rFonts w:hint="eastAsia" w:ascii="宋体" w:hAnsi="宋体"/>
          <w:b w:val="0"/>
          <w:bCs/>
          <w:sz w:val="24"/>
          <w:szCs w:val="24"/>
          <w:u w:val="none"/>
          <w:lang w:val="en-US" w:eastAsia="zh-CN"/>
        </w:rPr>
        <w:t>监测点布置：</w:t>
      </w:r>
    </w:p>
    <w:p>
      <w:pPr>
        <w:spacing w:line="360" w:lineRule="auto"/>
        <w:ind w:firstLine="480" w:firstLineChars="200"/>
        <w:rPr>
          <w:rFonts w:hint="eastAsia" w:hAnsi="宋体"/>
          <w:sz w:val="24"/>
          <w:lang w:eastAsia="zh-CN"/>
        </w:rPr>
      </w:pPr>
      <w:r>
        <w:rPr>
          <w:rFonts w:hint="eastAsia" w:hAnsi="宋体"/>
          <w:sz w:val="24"/>
          <w:lang w:eastAsia="zh-CN"/>
        </w:rPr>
        <w:t>要求全过程(施工过程和使用期间)变形观测，本栋共8个，在一层墙柱上设置。表示需进行施工期间(至竣工验收为止)的沉降变形观测。</w:t>
      </w:r>
    </w:p>
    <w:p>
      <w:pPr>
        <w:numPr>
          <w:ilvl w:val="0"/>
          <w:numId w:val="0"/>
        </w:numPr>
        <w:spacing w:beforeLines="30" w:line="440" w:lineRule="exact"/>
        <w:jc w:val="left"/>
        <w:rPr>
          <w:rFonts w:hint="eastAsia" w:ascii="宋体" w:hAnsi="宋体"/>
          <w:b w:val="0"/>
          <w:bCs/>
          <w:sz w:val="24"/>
          <w:szCs w:val="24"/>
          <w:u w:val="none"/>
          <w:lang w:val="en-US" w:eastAsia="zh-CN"/>
        </w:rPr>
      </w:pPr>
      <w:r>
        <w:rPr>
          <w:rFonts w:hint="eastAsia" w:ascii="宋体" w:hAnsi="宋体"/>
          <w:b w:val="0"/>
          <w:bCs/>
          <w:sz w:val="24"/>
          <w:szCs w:val="24"/>
          <w:u w:val="none"/>
          <w:lang w:val="en-US" w:eastAsia="zh-CN"/>
        </w:rPr>
        <w:t>b、观测频率：</w:t>
      </w:r>
    </w:p>
    <w:p>
      <w:pPr>
        <w:spacing w:line="360" w:lineRule="auto"/>
        <w:ind w:firstLine="480" w:firstLineChars="200"/>
        <w:rPr>
          <w:rFonts w:hint="eastAsia" w:hAnsi="宋体"/>
          <w:sz w:val="24"/>
          <w:lang w:eastAsia="zh-CN"/>
        </w:rPr>
      </w:pPr>
      <w:r>
        <w:rPr>
          <w:rFonts w:hint="eastAsia" w:hAnsi="宋体"/>
          <w:sz w:val="24"/>
          <w:lang w:eastAsia="zh-CN"/>
        </w:rPr>
        <w:t>地下室层数不少于两层的建筑物，应在地下室最底层以及地面一层设置沉降观测点，首次观测应在底板或底层竖向构件浇筑完毕时即开始；其它建筑物在地面一层施工完毕后开始。</w:t>
      </w:r>
    </w:p>
    <w:p>
      <w:pPr>
        <w:spacing w:line="360" w:lineRule="auto"/>
        <w:ind w:firstLine="480" w:firstLineChars="200"/>
        <w:rPr>
          <w:rFonts w:hint="eastAsia" w:hAnsi="宋体"/>
          <w:sz w:val="24"/>
          <w:lang w:eastAsia="zh-CN"/>
        </w:rPr>
      </w:pPr>
      <w:r>
        <w:rPr>
          <w:rFonts w:hint="eastAsia" w:hAnsi="宋体"/>
          <w:sz w:val="24"/>
          <w:lang w:eastAsia="zh-CN"/>
        </w:rPr>
        <w:t xml:space="preserve">   (1)主体施工期间，基础持力层(或桩端持力层)为基岩时每施工完    观测一次，其它持力层   观测一次；主体封顶后每1个月观测一次，砌体完成后每2个月观测一次至竣工验收，临竣工验收时应观测一次。</w:t>
      </w:r>
    </w:p>
    <w:p>
      <w:pPr>
        <w:spacing w:line="360" w:lineRule="auto"/>
        <w:ind w:firstLine="480" w:firstLineChars="200"/>
        <w:rPr>
          <w:rFonts w:hint="eastAsia" w:hAnsi="宋体"/>
          <w:sz w:val="24"/>
          <w:lang w:eastAsia="zh-CN"/>
        </w:rPr>
      </w:pPr>
      <w:r>
        <w:rPr>
          <w:rFonts w:hint="eastAsia" w:hAnsi="宋体"/>
          <w:sz w:val="24"/>
          <w:lang w:eastAsia="zh-CN"/>
        </w:rPr>
        <w:t xml:space="preserve">   (2)全过程观测时，竣工验收以后第一年内每隔3月观测一次、以后每隔6月一次，直到下沉稳定为止。</w:t>
      </w:r>
    </w:p>
    <w:p>
      <w:pPr>
        <w:spacing w:line="360" w:lineRule="auto"/>
        <w:ind w:firstLine="480" w:firstLineChars="200"/>
        <w:rPr>
          <w:rFonts w:hint="eastAsia" w:hAnsi="宋体"/>
          <w:sz w:val="24"/>
          <w:lang w:eastAsia="zh-CN"/>
        </w:rPr>
      </w:pPr>
      <w:r>
        <w:rPr>
          <w:rFonts w:hint="eastAsia" w:hAnsi="宋体"/>
          <w:sz w:val="24"/>
          <w:lang w:eastAsia="zh-CN"/>
        </w:rPr>
        <w:t xml:space="preserve">   (3)施工过程中若暂停工，在停工时及重新开工时应各观测一次。停工期间可每隔2～3个月观测一次。</w:t>
      </w:r>
    </w:p>
    <w:p>
      <w:pPr>
        <w:spacing w:line="360" w:lineRule="auto"/>
        <w:ind w:firstLine="480" w:firstLineChars="200"/>
        <w:rPr>
          <w:rFonts w:hint="eastAsia" w:hAnsi="宋体"/>
          <w:sz w:val="24"/>
          <w:lang w:eastAsia="zh-CN"/>
        </w:rPr>
      </w:pPr>
      <w:r>
        <w:rPr>
          <w:rFonts w:hint="eastAsia" w:hAnsi="宋体"/>
          <w:sz w:val="24"/>
          <w:lang w:eastAsia="zh-CN"/>
        </w:rPr>
        <w:t xml:space="preserve">   (4)若有基础附近地面荷载突然增减、基础四周大量积水、长时间连续降雨等情况，均应及时增加观测次数。突然发生异常情况时(包括主体封顶后某次观测结果显著增大时)，应及时通知监理、设计。</w:t>
      </w:r>
    </w:p>
    <w:p>
      <w:pPr>
        <w:numPr>
          <w:ilvl w:val="0"/>
          <w:numId w:val="8"/>
        </w:numPr>
        <w:spacing w:line="360" w:lineRule="auto"/>
        <w:ind w:firstLine="480" w:firstLineChars="200"/>
        <w:rPr>
          <w:rFonts w:hint="eastAsia" w:hAnsi="宋体"/>
          <w:b/>
          <w:bCs/>
          <w:sz w:val="24"/>
          <w:lang w:eastAsia="zh-CN"/>
        </w:rPr>
      </w:pPr>
      <w:r>
        <w:rPr>
          <w:rFonts w:hint="eastAsia" w:hAnsi="宋体"/>
          <w:b/>
          <w:bCs/>
          <w:sz w:val="24"/>
          <w:lang w:eastAsia="zh-CN"/>
        </w:rPr>
        <w:t>沉降及位移观测基准控制点</w:t>
      </w:r>
    </w:p>
    <w:p>
      <w:pPr>
        <w:spacing w:line="360" w:lineRule="auto"/>
        <w:ind w:firstLine="480" w:firstLineChars="200"/>
        <w:rPr>
          <w:rFonts w:hint="eastAsia" w:hAnsi="宋体"/>
          <w:sz w:val="24"/>
          <w:lang w:eastAsia="zh-CN"/>
        </w:rPr>
      </w:pPr>
      <w:r>
        <w:rPr>
          <w:rFonts w:hint="eastAsia" w:hAnsi="宋体"/>
          <w:sz w:val="24"/>
          <w:lang w:val="en-US" w:eastAsia="zh-CN"/>
        </w:rPr>
        <w:t xml:space="preserve">a、 </w:t>
      </w:r>
      <w:r>
        <w:rPr>
          <w:rFonts w:hint="eastAsia" w:hAnsi="宋体"/>
          <w:sz w:val="24"/>
          <w:lang w:eastAsia="zh-CN"/>
        </w:rPr>
        <w:t>控制点位置详见附件图纸。</w:t>
      </w:r>
    </w:p>
    <w:p>
      <w:pPr>
        <w:spacing w:line="360" w:lineRule="auto"/>
        <w:ind w:firstLine="480" w:firstLineChars="200"/>
        <w:rPr>
          <w:rFonts w:hint="eastAsia" w:hAnsi="宋体"/>
          <w:sz w:val="24"/>
          <w:lang w:val="en-US" w:eastAsia="zh-CN"/>
        </w:rPr>
      </w:pPr>
      <w:r>
        <w:rPr>
          <w:rFonts w:hint="eastAsia" w:hAnsi="宋体"/>
          <w:sz w:val="24"/>
          <w:lang w:val="en-US" w:eastAsia="zh-CN"/>
        </w:rPr>
        <w:t>b、观测频率根据发包方及监理要求执行，费用包含在本次合同内。</w:t>
      </w:r>
    </w:p>
    <w:p>
      <w:pPr>
        <w:spacing w:line="360" w:lineRule="auto"/>
        <w:rPr>
          <w:rFonts w:hint="eastAsia" w:hAnsi="宋体"/>
          <w:sz w:val="24"/>
          <w:lang w:val="en-US" w:eastAsia="zh-CN"/>
        </w:rPr>
      </w:pPr>
    </w:p>
    <w:p>
      <w:pPr>
        <w:numPr>
          <w:ilvl w:val="0"/>
          <w:numId w:val="0"/>
        </w:numPr>
        <w:spacing w:beforeLines="30" w:line="440" w:lineRule="exact"/>
        <w:jc w:val="left"/>
        <w:rPr>
          <w:rFonts w:hint="eastAsia" w:ascii="宋体" w:hAnsi="宋体"/>
          <w:b/>
          <w:sz w:val="24"/>
          <w:szCs w:val="24"/>
          <w:u w:val="single"/>
          <w:lang w:val="en-US" w:eastAsia="zh-CN"/>
        </w:rPr>
      </w:pPr>
    </w:p>
    <w:p>
      <w:pPr>
        <w:spacing w:beforeLines="30" w:line="440" w:lineRule="exact"/>
        <w:ind w:firstLine="482" w:firstLineChars="200"/>
        <w:jc w:val="left"/>
        <w:rPr>
          <w:rFonts w:ascii="宋体" w:hAnsi="宋体"/>
          <w:b/>
          <w:sz w:val="24"/>
          <w:szCs w:val="24"/>
          <w:u w:val="single"/>
        </w:rPr>
      </w:pPr>
      <w:r>
        <w:rPr>
          <w:rFonts w:hint="eastAsia" w:ascii="宋体" w:hAnsi="宋体"/>
          <w:b/>
          <w:sz w:val="24"/>
          <w:szCs w:val="24"/>
          <w:u w:val="single"/>
        </w:rPr>
        <w:t>（4）委托方认为需要进行监测的其他内容。</w:t>
      </w:r>
    </w:p>
    <w:p>
      <w:pPr>
        <w:spacing w:beforeLines="30" w:line="440" w:lineRule="exact"/>
        <w:ind w:firstLine="482" w:firstLineChars="200"/>
        <w:jc w:val="left"/>
        <w:rPr>
          <w:rFonts w:ascii="宋体" w:hAnsi="宋体"/>
          <w:b/>
          <w:sz w:val="24"/>
          <w:szCs w:val="24"/>
          <w:u w:val="single"/>
        </w:rPr>
      </w:pPr>
      <w:r>
        <w:rPr>
          <w:rFonts w:hint="eastAsia" w:ascii="宋体" w:hAnsi="宋体"/>
          <w:b/>
          <w:sz w:val="24"/>
          <w:szCs w:val="24"/>
          <w:u w:val="single"/>
        </w:rPr>
        <w:t>以上工程量仅为招标阶段的发包参考，具体工程量以施工图纸及经委托方、监理单位审批确定的监测方案为准。</w:t>
      </w:r>
    </w:p>
    <w:p>
      <w:pPr>
        <w:tabs>
          <w:tab w:val="left" w:pos="180"/>
          <w:tab w:val="left" w:pos="3060"/>
          <w:tab w:val="left" w:pos="3780"/>
        </w:tabs>
        <w:spacing w:beforeLines="30" w:line="440" w:lineRule="exact"/>
        <w:ind w:firstLine="480" w:firstLineChars="200"/>
        <w:jc w:val="left"/>
        <w:rPr>
          <w:rFonts w:ascii="宋体" w:hAnsi="宋体"/>
          <w:sz w:val="24"/>
          <w:szCs w:val="24"/>
        </w:rPr>
      </w:pPr>
      <w:r>
        <w:rPr>
          <w:rFonts w:hint="eastAsia" w:ascii="宋体" w:hAnsi="宋体"/>
          <w:sz w:val="24"/>
          <w:szCs w:val="24"/>
        </w:rPr>
        <w:t>2.2工作范围：具体范围以发包方委托的设计单位提供的相关技术要求为准。</w:t>
      </w:r>
      <w:r>
        <w:rPr>
          <w:rFonts w:ascii="宋体" w:hAnsi="宋体"/>
          <w:sz w:val="24"/>
          <w:szCs w:val="24"/>
        </w:rPr>
        <w:t xml:space="preserve"> </w:t>
      </w:r>
    </w:p>
    <w:p>
      <w:pPr>
        <w:tabs>
          <w:tab w:val="left" w:pos="180"/>
          <w:tab w:val="left" w:pos="3060"/>
          <w:tab w:val="left" w:pos="3780"/>
        </w:tabs>
        <w:spacing w:beforeLines="30" w:afterLines="50" w:line="440" w:lineRule="exact"/>
        <w:ind w:firstLine="480" w:firstLineChars="200"/>
        <w:jc w:val="left"/>
        <w:rPr>
          <w:rFonts w:ascii="宋体" w:hAnsi="宋体"/>
          <w:sz w:val="24"/>
          <w:szCs w:val="24"/>
        </w:rPr>
      </w:pPr>
      <w:r>
        <w:rPr>
          <w:rFonts w:hint="eastAsia" w:ascii="宋体" w:hAnsi="宋体"/>
          <w:sz w:val="24"/>
          <w:szCs w:val="24"/>
        </w:rPr>
        <w:t>第三条  执行标准（包括但不限于）：</w:t>
      </w:r>
    </w:p>
    <w:tbl>
      <w:tblPr>
        <w:tblStyle w:val="25"/>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4705"/>
        <w:gridCol w:w="2157"/>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Align w:val="center"/>
          </w:tcPr>
          <w:p>
            <w:pPr>
              <w:adjustRightInd w:val="0"/>
              <w:snapToGrid w:val="0"/>
              <w:spacing w:line="440" w:lineRule="exact"/>
              <w:jc w:val="center"/>
              <w:rPr>
                <w:rFonts w:ascii="宋体" w:hAnsi="宋体"/>
                <w:sz w:val="24"/>
                <w:szCs w:val="24"/>
              </w:rPr>
            </w:pPr>
            <w:r>
              <w:rPr>
                <w:rFonts w:hint="eastAsia" w:ascii="宋体" w:hAnsi="宋体"/>
                <w:sz w:val="24"/>
                <w:szCs w:val="24"/>
              </w:rPr>
              <w:t>序号</w:t>
            </w:r>
          </w:p>
        </w:tc>
        <w:tc>
          <w:tcPr>
            <w:tcW w:w="4705"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标准名称</w:t>
            </w:r>
          </w:p>
        </w:tc>
        <w:tc>
          <w:tcPr>
            <w:tcW w:w="2157"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标准代码</w:t>
            </w:r>
          </w:p>
        </w:tc>
        <w:tc>
          <w:tcPr>
            <w:tcW w:w="1421"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标准等级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Align w:val="center"/>
          </w:tcPr>
          <w:p>
            <w:pPr>
              <w:adjustRightInd w:val="0"/>
              <w:snapToGrid w:val="0"/>
              <w:spacing w:line="440" w:lineRule="exact"/>
              <w:jc w:val="center"/>
              <w:rPr>
                <w:rFonts w:ascii="宋体" w:hAnsi="宋体"/>
                <w:sz w:val="24"/>
                <w:szCs w:val="24"/>
              </w:rPr>
            </w:pPr>
            <w:r>
              <w:rPr>
                <w:rFonts w:hint="eastAsia" w:ascii="宋体" w:hAnsi="宋体"/>
                <w:sz w:val="24"/>
                <w:szCs w:val="24"/>
              </w:rPr>
              <w:t>1</w:t>
            </w:r>
          </w:p>
        </w:tc>
        <w:tc>
          <w:tcPr>
            <w:tcW w:w="4705"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岩土工程勘察规范</w:t>
            </w:r>
          </w:p>
        </w:tc>
        <w:tc>
          <w:tcPr>
            <w:tcW w:w="2157"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GB50021-2001</w:t>
            </w:r>
          </w:p>
        </w:tc>
        <w:tc>
          <w:tcPr>
            <w:tcW w:w="1421"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Align w:val="center"/>
          </w:tcPr>
          <w:p>
            <w:pPr>
              <w:adjustRightInd w:val="0"/>
              <w:snapToGrid w:val="0"/>
              <w:spacing w:line="440" w:lineRule="exact"/>
              <w:jc w:val="center"/>
              <w:rPr>
                <w:rFonts w:ascii="宋体" w:hAnsi="宋体"/>
                <w:sz w:val="24"/>
                <w:szCs w:val="24"/>
              </w:rPr>
            </w:pPr>
            <w:r>
              <w:rPr>
                <w:rFonts w:hint="eastAsia" w:ascii="宋体" w:hAnsi="宋体"/>
                <w:sz w:val="24"/>
                <w:szCs w:val="24"/>
              </w:rPr>
              <w:t>2</w:t>
            </w:r>
          </w:p>
        </w:tc>
        <w:tc>
          <w:tcPr>
            <w:tcW w:w="4705"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工程测量规范</w:t>
            </w:r>
          </w:p>
        </w:tc>
        <w:tc>
          <w:tcPr>
            <w:tcW w:w="2157"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GB50026-2007</w:t>
            </w:r>
          </w:p>
        </w:tc>
        <w:tc>
          <w:tcPr>
            <w:tcW w:w="1421"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Align w:val="center"/>
          </w:tcPr>
          <w:p>
            <w:pPr>
              <w:adjustRightInd w:val="0"/>
              <w:snapToGrid w:val="0"/>
              <w:spacing w:line="440" w:lineRule="exact"/>
              <w:jc w:val="center"/>
              <w:rPr>
                <w:rFonts w:ascii="宋体" w:hAnsi="宋体"/>
                <w:sz w:val="24"/>
                <w:szCs w:val="24"/>
              </w:rPr>
            </w:pPr>
            <w:r>
              <w:rPr>
                <w:rFonts w:hint="eastAsia" w:ascii="宋体" w:hAnsi="宋体"/>
                <w:sz w:val="24"/>
                <w:szCs w:val="24"/>
              </w:rPr>
              <w:t>3</w:t>
            </w:r>
          </w:p>
        </w:tc>
        <w:tc>
          <w:tcPr>
            <w:tcW w:w="4705"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城市测量规范</w:t>
            </w:r>
          </w:p>
        </w:tc>
        <w:tc>
          <w:tcPr>
            <w:tcW w:w="2157"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CJJ8-99</w:t>
            </w:r>
          </w:p>
        </w:tc>
        <w:tc>
          <w:tcPr>
            <w:tcW w:w="1421"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Align w:val="center"/>
          </w:tcPr>
          <w:p>
            <w:pPr>
              <w:adjustRightInd w:val="0"/>
              <w:snapToGrid w:val="0"/>
              <w:spacing w:line="440" w:lineRule="exact"/>
              <w:jc w:val="center"/>
              <w:rPr>
                <w:rFonts w:ascii="宋体" w:hAnsi="宋体"/>
                <w:sz w:val="24"/>
                <w:szCs w:val="24"/>
              </w:rPr>
            </w:pPr>
            <w:r>
              <w:rPr>
                <w:rFonts w:hint="eastAsia" w:ascii="宋体" w:hAnsi="宋体"/>
                <w:sz w:val="24"/>
                <w:szCs w:val="24"/>
              </w:rPr>
              <w:t>4</w:t>
            </w:r>
          </w:p>
        </w:tc>
        <w:tc>
          <w:tcPr>
            <w:tcW w:w="4705"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深圳市基础测绘技术规范</w:t>
            </w:r>
          </w:p>
        </w:tc>
        <w:tc>
          <w:tcPr>
            <w:tcW w:w="2157"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CJJ65-94</w:t>
            </w:r>
          </w:p>
        </w:tc>
        <w:tc>
          <w:tcPr>
            <w:tcW w:w="1421" w:type="dxa"/>
            <w:vAlign w:val="center"/>
          </w:tcPr>
          <w:p>
            <w:pPr>
              <w:adjustRightInd w:val="0"/>
              <w:snapToGrid w:val="0"/>
              <w:spacing w:line="44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Align w:val="center"/>
          </w:tcPr>
          <w:p>
            <w:pPr>
              <w:adjustRightInd w:val="0"/>
              <w:snapToGrid w:val="0"/>
              <w:spacing w:line="440" w:lineRule="exact"/>
              <w:jc w:val="center"/>
              <w:rPr>
                <w:rFonts w:ascii="宋体" w:hAnsi="宋体"/>
                <w:sz w:val="24"/>
                <w:szCs w:val="24"/>
              </w:rPr>
            </w:pPr>
            <w:r>
              <w:rPr>
                <w:rFonts w:hint="eastAsia" w:ascii="宋体" w:hAnsi="宋体"/>
                <w:sz w:val="24"/>
                <w:szCs w:val="24"/>
              </w:rPr>
              <w:t>5</w:t>
            </w:r>
          </w:p>
        </w:tc>
        <w:tc>
          <w:tcPr>
            <w:tcW w:w="4705"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1:500、1:1000、1:2000地形图图式</w:t>
            </w:r>
          </w:p>
        </w:tc>
        <w:tc>
          <w:tcPr>
            <w:tcW w:w="2157"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GB/T7931-1995</w:t>
            </w:r>
          </w:p>
        </w:tc>
        <w:tc>
          <w:tcPr>
            <w:tcW w:w="1421"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国标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Align w:val="center"/>
          </w:tcPr>
          <w:p>
            <w:pPr>
              <w:adjustRightInd w:val="0"/>
              <w:snapToGrid w:val="0"/>
              <w:spacing w:line="440" w:lineRule="exact"/>
              <w:jc w:val="center"/>
              <w:rPr>
                <w:rFonts w:ascii="宋体" w:hAnsi="宋体"/>
                <w:sz w:val="24"/>
                <w:szCs w:val="24"/>
              </w:rPr>
            </w:pPr>
            <w:r>
              <w:rPr>
                <w:rFonts w:hint="eastAsia" w:ascii="宋体" w:hAnsi="宋体"/>
                <w:sz w:val="24"/>
                <w:szCs w:val="24"/>
              </w:rPr>
              <w:t>6</w:t>
            </w:r>
          </w:p>
        </w:tc>
        <w:tc>
          <w:tcPr>
            <w:tcW w:w="4705"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深圳市有关岩土工程监测、工程测量技术要求</w:t>
            </w:r>
          </w:p>
        </w:tc>
        <w:tc>
          <w:tcPr>
            <w:tcW w:w="2157" w:type="dxa"/>
            <w:vAlign w:val="center"/>
          </w:tcPr>
          <w:p>
            <w:pPr>
              <w:adjustRightInd w:val="0"/>
              <w:snapToGrid w:val="0"/>
              <w:spacing w:line="440" w:lineRule="exact"/>
              <w:jc w:val="left"/>
              <w:rPr>
                <w:rFonts w:ascii="宋体" w:hAnsi="宋体"/>
                <w:sz w:val="24"/>
                <w:szCs w:val="24"/>
              </w:rPr>
            </w:pPr>
          </w:p>
        </w:tc>
        <w:tc>
          <w:tcPr>
            <w:tcW w:w="1421" w:type="dxa"/>
            <w:vAlign w:val="center"/>
          </w:tcPr>
          <w:p>
            <w:pPr>
              <w:adjustRightInd w:val="0"/>
              <w:snapToGrid w:val="0"/>
              <w:spacing w:line="44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Align w:val="center"/>
          </w:tcPr>
          <w:p>
            <w:pPr>
              <w:adjustRightInd w:val="0"/>
              <w:snapToGrid w:val="0"/>
              <w:spacing w:line="440" w:lineRule="exact"/>
              <w:jc w:val="center"/>
              <w:rPr>
                <w:rFonts w:ascii="宋体" w:hAnsi="宋体"/>
                <w:sz w:val="24"/>
                <w:szCs w:val="24"/>
              </w:rPr>
            </w:pPr>
            <w:r>
              <w:rPr>
                <w:rFonts w:hint="eastAsia" w:ascii="宋体" w:hAnsi="宋体"/>
                <w:sz w:val="24"/>
                <w:szCs w:val="24"/>
              </w:rPr>
              <w:t>7</w:t>
            </w:r>
          </w:p>
        </w:tc>
        <w:tc>
          <w:tcPr>
            <w:tcW w:w="4705" w:type="dxa"/>
            <w:vAlign w:val="center"/>
          </w:tcPr>
          <w:p>
            <w:pPr>
              <w:adjustRightInd w:val="0"/>
              <w:snapToGrid w:val="0"/>
              <w:spacing w:line="440" w:lineRule="exact"/>
              <w:jc w:val="left"/>
              <w:rPr>
                <w:rFonts w:ascii="宋体" w:hAnsi="宋体"/>
                <w:sz w:val="24"/>
                <w:szCs w:val="24"/>
              </w:rPr>
            </w:pPr>
            <w:r>
              <w:rPr>
                <w:rFonts w:hint="eastAsia" w:ascii="宋体" w:hAnsi="宋体"/>
                <w:sz w:val="24"/>
                <w:szCs w:val="24"/>
              </w:rPr>
              <w:t>国家、广东省、深圳市岩土工程监测、工程测量等相关规定</w:t>
            </w:r>
          </w:p>
        </w:tc>
        <w:tc>
          <w:tcPr>
            <w:tcW w:w="2157" w:type="dxa"/>
            <w:vAlign w:val="center"/>
          </w:tcPr>
          <w:p>
            <w:pPr>
              <w:adjustRightInd w:val="0"/>
              <w:snapToGrid w:val="0"/>
              <w:spacing w:line="440" w:lineRule="exact"/>
              <w:jc w:val="left"/>
              <w:rPr>
                <w:rFonts w:ascii="宋体" w:hAnsi="宋体"/>
                <w:sz w:val="24"/>
                <w:szCs w:val="24"/>
              </w:rPr>
            </w:pPr>
          </w:p>
        </w:tc>
        <w:tc>
          <w:tcPr>
            <w:tcW w:w="1421" w:type="dxa"/>
            <w:vAlign w:val="center"/>
          </w:tcPr>
          <w:p>
            <w:pPr>
              <w:adjustRightInd w:val="0"/>
              <w:snapToGrid w:val="0"/>
              <w:spacing w:line="44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Align w:val="center"/>
          </w:tcPr>
          <w:p>
            <w:pPr>
              <w:adjustRightInd w:val="0"/>
              <w:snapToGrid w:val="0"/>
              <w:spacing w:line="440" w:lineRule="exact"/>
              <w:jc w:val="center"/>
              <w:rPr>
                <w:rFonts w:ascii="宋体" w:hAnsi="宋体"/>
                <w:sz w:val="24"/>
                <w:szCs w:val="24"/>
              </w:rPr>
            </w:pPr>
          </w:p>
        </w:tc>
        <w:tc>
          <w:tcPr>
            <w:tcW w:w="4705" w:type="dxa"/>
            <w:vAlign w:val="center"/>
          </w:tcPr>
          <w:p>
            <w:pPr>
              <w:adjustRightInd w:val="0"/>
              <w:snapToGrid w:val="0"/>
              <w:spacing w:line="440" w:lineRule="exact"/>
              <w:jc w:val="left"/>
              <w:rPr>
                <w:rFonts w:ascii="宋体" w:hAnsi="宋体"/>
                <w:sz w:val="24"/>
                <w:szCs w:val="24"/>
              </w:rPr>
            </w:pPr>
          </w:p>
        </w:tc>
        <w:tc>
          <w:tcPr>
            <w:tcW w:w="2157" w:type="dxa"/>
            <w:vAlign w:val="center"/>
          </w:tcPr>
          <w:p>
            <w:pPr>
              <w:adjustRightInd w:val="0"/>
              <w:snapToGrid w:val="0"/>
              <w:spacing w:line="440" w:lineRule="exact"/>
              <w:jc w:val="left"/>
              <w:rPr>
                <w:rFonts w:ascii="宋体" w:hAnsi="宋体"/>
                <w:sz w:val="24"/>
                <w:szCs w:val="24"/>
              </w:rPr>
            </w:pPr>
          </w:p>
        </w:tc>
        <w:tc>
          <w:tcPr>
            <w:tcW w:w="1421" w:type="dxa"/>
            <w:vAlign w:val="center"/>
          </w:tcPr>
          <w:p>
            <w:pPr>
              <w:adjustRightInd w:val="0"/>
              <w:snapToGrid w:val="0"/>
              <w:spacing w:line="440" w:lineRule="exact"/>
              <w:jc w:val="left"/>
              <w:rPr>
                <w:rFonts w:ascii="宋体" w:hAnsi="宋体"/>
                <w:sz w:val="24"/>
                <w:szCs w:val="24"/>
              </w:rPr>
            </w:pPr>
          </w:p>
        </w:tc>
      </w:tr>
    </w:tbl>
    <w:p>
      <w:pPr>
        <w:adjustRightInd w:val="0"/>
        <w:snapToGrid w:val="0"/>
        <w:spacing w:line="440" w:lineRule="exact"/>
        <w:jc w:val="left"/>
        <w:rPr>
          <w:rFonts w:ascii="宋体" w:hAnsi="宋体"/>
          <w:sz w:val="24"/>
          <w:szCs w:val="24"/>
        </w:rPr>
      </w:pPr>
    </w:p>
    <w:p>
      <w:pPr>
        <w:spacing w:beforeLines="30" w:line="440" w:lineRule="exact"/>
        <w:ind w:firstLine="480" w:firstLineChars="200"/>
        <w:jc w:val="left"/>
        <w:rPr>
          <w:rFonts w:ascii="宋体" w:hAnsi="宋体"/>
          <w:sz w:val="24"/>
          <w:szCs w:val="24"/>
        </w:rPr>
      </w:pPr>
      <w:r>
        <w:rPr>
          <w:rFonts w:hint="eastAsia" w:ascii="宋体" w:hAnsi="宋体"/>
          <w:sz w:val="24"/>
          <w:szCs w:val="24"/>
        </w:rPr>
        <w:t>第四条  开工及提交监测成果资料的时间及内容</w:t>
      </w:r>
    </w:p>
    <w:p>
      <w:pPr>
        <w:spacing w:beforeLines="30" w:line="440" w:lineRule="exact"/>
        <w:ind w:firstLine="480" w:firstLineChars="200"/>
        <w:jc w:val="left"/>
        <w:rPr>
          <w:rFonts w:ascii="宋体" w:hAnsi="宋体"/>
          <w:sz w:val="24"/>
          <w:szCs w:val="24"/>
        </w:rPr>
      </w:pPr>
      <w:r>
        <w:rPr>
          <w:rFonts w:hint="eastAsia" w:ascii="宋体" w:hAnsi="宋体"/>
          <w:sz w:val="24"/>
          <w:szCs w:val="24"/>
        </w:rPr>
        <w:t>4.1本工程的监测工作定于</w:t>
      </w:r>
      <w:r>
        <w:rPr>
          <w:rFonts w:hint="eastAsia" w:ascii="宋体" w:hAnsi="宋体"/>
          <w:sz w:val="24"/>
          <w:szCs w:val="24"/>
          <w:u w:val="single"/>
        </w:rPr>
        <w:t xml:space="preserve"> 2017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rPr>
        <w:t>日开工，</w:t>
      </w:r>
      <w:r>
        <w:rPr>
          <w:rFonts w:hint="eastAsia" w:ascii="宋体" w:hAnsi="宋体"/>
          <w:sz w:val="24"/>
          <w:szCs w:val="24"/>
          <w:u w:val="single"/>
        </w:rPr>
        <w:t>2019</w:t>
      </w:r>
      <w:r>
        <w:rPr>
          <w:rFonts w:hint="eastAsia" w:ascii="宋体" w:hAnsi="宋体"/>
          <w:sz w:val="24"/>
          <w:szCs w:val="24"/>
        </w:rPr>
        <w:t>年</w:t>
      </w:r>
      <w:r>
        <w:rPr>
          <w:rFonts w:hint="eastAsia" w:ascii="宋体" w:hAnsi="宋体"/>
          <w:sz w:val="24"/>
          <w:szCs w:val="24"/>
          <w:u w:val="single"/>
          <w:lang w:val="en-US" w:eastAsia="zh-CN"/>
        </w:rPr>
        <w:t xml:space="preserve">  </w:t>
      </w:r>
      <w:r>
        <w:rPr>
          <w:rFonts w:hint="eastAsia" w:ascii="宋体" w:hAnsi="宋体"/>
          <w:sz w:val="24"/>
          <w:szCs w:val="24"/>
          <w:u w:val="single"/>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u w:val="single"/>
          <w:lang w:val="en-US" w:eastAsia="zh-CN"/>
        </w:rPr>
        <w:t xml:space="preserve">   </w:t>
      </w:r>
      <w:r>
        <w:rPr>
          <w:rFonts w:hint="eastAsia" w:ascii="宋体" w:hAnsi="宋体"/>
          <w:sz w:val="24"/>
          <w:szCs w:val="24"/>
        </w:rPr>
        <w:t>日提交监测成果资料（具体以</w:t>
      </w:r>
      <w:r>
        <w:rPr>
          <w:rFonts w:hint="eastAsia" w:ascii="宋体" w:hAnsi="宋体"/>
          <w:sz w:val="24"/>
          <w:szCs w:val="24"/>
          <w:lang w:eastAsia="zh-CN"/>
        </w:rPr>
        <w:t>发包人</w:t>
      </w:r>
      <w:r>
        <w:rPr>
          <w:rFonts w:hint="eastAsia" w:ascii="宋体" w:hAnsi="宋体"/>
          <w:sz w:val="24"/>
          <w:szCs w:val="24"/>
        </w:rPr>
        <w:t>及监理批准的监测方案为准），由于</w:t>
      </w:r>
      <w:r>
        <w:rPr>
          <w:rFonts w:hint="eastAsia" w:ascii="宋体" w:hAnsi="宋体"/>
          <w:sz w:val="24"/>
          <w:szCs w:val="24"/>
          <w:lang w:eastAsia="zh-CN"/>
        </w:rPr>
        <w:t>发包人</w:t>
      </w:r>
      <w:r>
        <w:rPr>
          <w:rFonts w:hint="eastAsia" w:ascii="宋体" w:hAnsi="宋体"/>
          <w:sz w:val="24"/>
          <w:szCs w:val="24"/>
        </w:rPr>
        <w:t>或</w:t>
      </w:r>
      <w:r>
        <w:rPr>
          <w:rFonts w:hint="eastAsia" w:ascii="宋体" w:hAnsi="宋体"/>
          <w:sz w:val="24"/>
          <w:szCs w:val="24"/>
          <w:lang w:eastAsia="zh-CN"/>
        </w:rPr>
        <w:t>承包人</w:t>
      </w:r>
      <w:r>
        <w:rPr>
          <w:rFonts w:hint="eastAsia" w:ascii="宋体" w:hAnsi="宋体"/>
          <w:sz w:val="24"/>
          <w:szCs w:val="24"/>
        </w:rPr>
        <w:t>的原因未能按期开工或提交成果资料时，按本合同第九条规定办理。</w:t>
      </w:r>
    </w:p>
    <w:p>
      <w:pPr>
        <w:spacing w:beforeLines="30" w:line="440" w:lineRule="exact"/>
        <w:ind w:firstLine="480" w:firstLineChars="200"/>
        <w:jc w:val="left"/>
        <w:rPr>
          <w:rFonts w:ascii="宋体" w:hAnsi="宋体"/>
          <w:sz w:val="24"/>
          <w:szCs w:val="24"/>
        </w:rPr>
      </w:pPr>
      <w:r>
        <w:rPr>
          <w:rFonts w:hint="eastAsia" w:ascii="宋体" w:hAnsi="宋体"/>
          <w:sz w:val="24"/>
          <w:szCs w:val="24"/>
        </w:rPr>
        <w:t>本工程监测时间总计</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日历天，起止时间暂估为2017年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日起至</w:t>
      </w:r>
      <w:r>
        <w:rPr>
          <w:rFonts w:hint="eastAsia" w:ascii="宋体" w:hAnsi="宋体"/>
          <w:sz w:val="24"/>
          <w:szCs w:val="24"/>
          <w:u w:val="single"/>
        </w:rPr>
        <w:t>2019年</w:t>
      </w:r>
      <w:r>
        <w:rPr>
          <w:rFonts w:hint="eastAsia" w:ascii="宋体" w:hAnsi="宋体"/>
          <w:sz w:val="24"/>
          <w:szCs w:val="24"/>
          <w:u w:val="single"/>
          <w:lang w:val="en-US" w:eastAsia="zh-CN"/>
        </w:rPr>
        <w:t xml:space="preserve">  </w:t>
      </w:r>
      <w:r>
        <w:rPr>
          <w:rFonts w:hint="eastAsia" w:ascii="宋体" w:hAnsi="宋体"/>
          <w:sz w:val="24"/>
          <w:szCs w:val="24"/>
          <w:u w:val="single"/>
        </w:rPr>
        <w:t>月</w:t>
      </w:r>
      <w:r>
        <w:rPr>
          <w:rFonts w:hint="eastAsia" w:ascii="宋体" w:hAnsi="宋体"/>
          <w:sz w:val="24"/>
          <w:szCs w:val="24"/>
          <w:u w:val="single"/>
          <w:lang w:val="en-US" w:eastAsia="zh-CN"/>
        </w:rPr>
        <w:t xml:space="preserve">   </w:t>
      </w:r>
      <w:r>
        <w:rPr>
          <w:rFonts w:hint="eastAsia" w:ascii="宋体" w:hAnsi="宋体"/>
          <w:sz w:val="24"/>
          <w:szCs w:val="24"/>
          <w:u w:val="single"/>
        </w:rPr>
        <w:t>日止</w:t>
      </w:r>
      <w:r>
        <w:rPr>
          <w:rFonts w:hint="eastAsia" w:ascii="宋体" w:hAnsi="宋体"/>
          <w:sz w:val="24"/>
          <w:szCs w:val="24"/>
        </w:rPr>
        <w:t>（具体以业主指令日期为准）。</w:t>
      </w:r>
    </w:p>
    <w:p>
      <w:pPr>
        <w:spacing w:beforeLines="30" w:afterLines="50" w:line="440" w:lineRule="exact"/>
        <w:ind w:firstLine="480" w:firstLineChars="200"/>
        <w:jc w:val="left"/>
        <w:rPr>
          <w:rFonts w:ascii="宋体" w:hAnsi="宋体"/>
          <w:sz w:val="24"/>
          <w:szCs w:val="24"/>
        </w:rPr>
      </w:pPr>
      <w:r>
        <w:rPr>
          <w:rFonts w:hint="eastAsia" w:ascii="宋体" w:hAnsi="宋体"/>
          <w:sz w:val="24"/>
          <w:szCs w:val="24"/>
        </w:rPr>
        <w:t>4.2监测工作有效期限以</w:t>
      </w:r>
      <w:r>
        <w:rPr>
          <w:rFonts w:hint="eastAsia" w:ascii="宋体" w:hAnsi="宋体"/>
          <w:sz w:val="24"/>
          <w:szCs w:val="24"/>
          <w:lang w:eastAsia="zh-CN"/>
        </w:rPr>
        <w:t>发包人</w:t>
      </w:r>
      <w:r>
        <w:rPr>
          <w:rFonts w:hint="eastAsia" w:ascii="宋体" w:hAnsi="宋体"/>
          <w:sz w:val="24"/>
          <w:szCs w:val="24"/>
        </w:rPr>
        <w:t>下达的开工通知书或合同规定的时间为准，如遇特殊情况（设计变更、工作量变化、不可抗力影响以及非</w:t>
      </w:r>
      <w:r>
        <w:rPr>
          <w:rFonts w:hint="eastAsia" w:ascii="宋体" w:hAnsi="宋体"/>
          <w:sz w:val="24"/>
          <w:szCs w:val="24"/>
          <w:lang w:eastAsia="zh-CN"/>
        </w:rPr>
        <w:t>承包人</w:t>
      </w:r>
      <w:r>
        <w:rPr>
          <w:rFonts w:hint="eastAsia" w:ascii="宋体" w:hAnsi="宋体"/>
          <w:sz w:val="24"/>
          <w:szCs w:val="24"/>
        </w:rPr>
        <w:t>原因造成的停、窝工等）时，工期相应顺延，除此之外</w:t>
      </w:r>
      <w:r>
        <w:rPr>
          <w:rFonts w:hint="eastAsia" w:ascii="宋体" w:hAnsi="宋体"/>
          <w:sz w:val="24"/>
          <w:szCs w:val="24"/>
          <w:lang w:eastAsia="zh-CN"/>
        </w:rPr>
        <w:t>发包人</w:t>
      </w:r>
      <w:r>
        <w:rPr>
          <w:rFonts w:hint="eastAsia" w:ascii="宋体" w:hAnsi="宋体"/>
          <w:sz w:val="24"/>
          <w:szCs w:val="24"/>
        </w:rPr>
        <w:t>不承担任何责任，</w:t>
      </w:r>
      <w:r>
        <w:rPr>
          <w:rFonts w:hint="eastAsia" w:ascii="宋体" w:hAnsi="宋体"/>
          <w:sz w:val="24"/>
          <w:szCs w:val="24"/>
          <w:lang w:eastAsia="zh-CN"/>
        </w:rPr>
        <w:t>承包人</w:t>
      </w:r>
      <w:r>
        <w:rPr>
          <w:rFonts w:hint="eastAsia" w:ascii="宋体" w:hAnsi="宋体"/>
          <w:sz w:val="24"/>
          <w:szCs w:val="24"/>
        </w:rPr>
        <w:t>不得向</w:t>
      </w:r>
      <w:r>
        <w:rPr>
          <w:rFonts w:hint="eastAsia" w:ascii="宋体" w:hAnsi="宋体"/>
          <w:sz w:val="24"/>
          <w:szCs w:val="24"/>
          <w:lang w:eastAsia="zh-CN"/>
        </w:rPr>
        <w:t>发包人</w:t>
      </w:r>
      <w:r>
        <w:rPr>
          <w:rFonts w:hint="eastAsia" w:ascii="宋体" w:hAnsi="宋体"/>
          <w:sz w:val="24"/>
          <w:szCs w:val="24"/>
        </w:rPr>
        <w:t>要求任何费用索赔或补偿。</w:t>
      </w:r>
    </w:p>
    <w:p>
      <w:pPr>
        <w:spacing w:beforeLines="30" w:afterLines="50" w:line="440" w:lineRule="exact"/>
        <w:ind w:firstLine="480" w:firstLineChars="200"/>
        <w:jc w:val="left"/>
        <w:rPr>
          <w:rFonts w:ascii="宋体" w:hAnsi="宋体"/>
          <w:sz w:val="24"/>
          <w:szCs w:val="24"/>
        </w:rPr>
      </w:pPr>
      <w:r>
        <w:rPr>
          <w:rFonts w:hint="eastAsia" w:ascii="宋体" w:hAnsi="宋体"/>
          <w:sz w:val="24"/>
          <w:szCs w:val="24"/>
        </w:rPr>
        <w:t>4.3</w:t>
      </w:r>
      <w:r>
        <w:rPr>
          <w:rFonts w:hint="eastAsia" w:ascii="宋体" w:hAnsi="宋体"/>
          <w:sz w:val="24"/>
          <w:szCs w:val="24"/>
          <w:lang w:eastAsia="zh-CN"/>
        </w:rPr>
        <w:t>承包人</w:t>
      </w:r>
      <w:r>
        <w:rPr>
          <w:rFonts w:hint="eastAsia" w:ascii="宋体" w:hAnsi="宋体"/>
          <w:sz w:val="24"/>
          <w:szCs w:val="24"/>
        </w:rPr>
        <w:t>所提交的资料如下：</w:t>
      </w:r>
    </w:p>
    <w:p>
      <w:pPr>
        <w:spacing w:beforeLines="30" w:line="440" w:lineRule="exact"/>
        <w:ind w:firstLine="480" w:firstLineChars="200"/>
        <w:jc w:val="left"/>
        <w:rPr>
          <w:rFonts w:ascii="宋体" w:hAnsi="宋体"/>
          <w:sz w:val="24"/>
          <w:szCs w:val="24"/>
        </w:rPr>
      </w:pPr>
      <w:r>
        <w:rPr>
          <w:rFonts w:hint="eastAsia" w:ascii="宋体" w:hAnsi="宋体"/>
          <w:sz w:val="24"/>
          <w:szCs w:val="24"/>
        </w:rPr>
        <w:t>4.3.1每次监测完成后，</w:t>
      </w:r>
      <w:r>
        <w:rPr>
          <w:rFonts w:hint="eastAsia" w:ascii="宋体" w:hAnsi="宋体"/>
          <w:sz w:val="24"/>
          <w:szCs w:val="24"/>
          <w:lang w:eastAsia="zh-CN"/>
        </w:rPr>
        <w:t>承包人</w:t>
      </w:r>
      <w:r>
        <w:rPr>
          <w:rFonts w:hint="eastAsia" w:ascii="宋体" w:hAnsi="宋体"/>
          <w:sz w:val="24"/>
          <w:szCs w:val="24"/>
        </w:rPr>
        <w:t>应于3日内向</w:t>
      </w:r>
      <w:r>
        <w:rPr>
          <w:rFonts w:hint="eastAsia" w:ascii="宋体" w:hAnsi="宋体"/>
          <w:sz w:val="24"/>
          <w:szCs w:val="24"/>
          <w:lang w:eastAsia="zh-CN"/>
        </w:rPr>
        <w:t>发包人</w:t>
      </w:r>
      <w:r>
        <w:rPr>
          <w:rFonts w:hint="eastAsia" w:ascii="宋体" w:hAnsi="宋体"/>
          <w:sz w:val="24"/>
          <w:szCs w:val="24"/>
        </w:rPr>
        <w:t>提供监测成果资料一式三份；如有异常情况或达到警戒值，应及时通知</w:t>
      </w:r>
      <w:r>
        <w:rPr>
          <w:rFonts w:hint="eastAsia" w:ascii="宋体" w:hAnsi="宋体"/>
          <w:sz w:val="24"/>
          <w:szCs w:val="24"/>
          <w:lang w:eastAsia="zh-CN"/>
        </w:rPr>
        <w:t>发包人</w:t>
      </w:r>
      <w:r>
        <w:rPr>
          <w:rFonts w:hint="eastAsia" w:ascii="宋体" w:hAnsi="宋体"/>
          <w:sz w:val="24"/>
          <w:szCs w:val="24"/>
        </w:rPr>
        <w:t>等相关单位。</w:t>
      </w:r>
    </w:p>
    <w:p>
      <w:pPr>
        <w:spacing w:beforeLines="30" w:line="440" w:lineRule="exact"/>
        <w:ind w:firstLine="480" w:firstLineChars="200"/>
        <w:jc w:val="left"/>
        <w:rPr>
          <w:rFonts w:ascii="宋体" w:hAnsi="宋体"/>
          <w:sz w:val="24"/>
          <w:szCs w:val="24"/>
        </w:rPr>
      </w:pPr>
      <w:r>
        <w:rPr>
          <w:rFonts w:hint="eastAsia" w:ascii="宋体" w:hAnsi="宋体"/>
          <w:sz w:val="24"/>
          <w:szCs w:val="24"/>
        </w:rPr>
        <w:t>4.3.2监测工作全部完成后，</w:t>
      </w:r>
      <w:r>
        <w:rPr>
          <w:rFonts w:hint="eastAsia" w:ascii="宋体" w:hAnsi="宋体"/>
          <w:sz w:val="24"/>
          <w:szCs w:val="24"/>
          <w:lang w:eastAsia="zh-CN"/>
        </w:rPr>
        <w:t>承包人</w:t>
      </w:r>
      <w:r>
        <w:rPr>
          <w:rFonts w:hint="eastAsia" w:ascii="宋体" w:hAnsi="宋体"/>
          <w:sz w:val="24"/>
          <w:szCs w:val="24"/>
        </w:rPr>
        <w:t>应于20日内向</w:t>
      </w:r>
      <w:r>
        <w:rPr>
          <w:rFonts w:hint="eastAsia" w:ascii="宋体" w:hAnsi="宋体"/>
          <w:sz w:val="24"/>
          <w:szCs w:val="24"/>
          <w:lang w:eastAsia="zh-CN"/>
        </w:rPr>
        <w:t>发包人</w:t>
      </w:r>
      <w:r>
        <w:rPr>
          <w:rFonts w:hint="eastAsia" w:ascii="宋体" w:hAnsi="宋体"/>
          <w:sz w:val="24"/>
          <w:szCs w:val="24"/>
        </w:rPr>
        <w:t>提供监测成果总结报告一式四份。</w:t>
      </w:r>
    </w:p>
    <w:p>
      <w:pPr>
        <w:spacing w:beforeLines="30" w:line="440" w:lineRule="exact"/>
        <w:ind w:firstLine="480" w:firstLineChars="200"/>
        <w:jc w:val="left"/>
        <w:rPr>
          <w:rFonts w:ascii="宋体" w:hAnsi="宋体"/>
          <w:sz w:val="24"/>
          <w:szCs w:val="24"/>
        </w:rPr>
      </w:pPr>
      <w:r>
        <w:rPr>
          <w:rFonts w:hint="eastAsia" w:ascii="宋体" w:hAnsi="宋体"/>
          <w:sz w:val="24"/>
          <w:szCs w:val="24"/>
        </w:rPr>
        <w:t>第五条  合同价款及结算方式</w:t>
      </w:r>
    </w:p>
    <w:p>
      <w:pPr>
        <w:spacing w:beforeLines="30" w:line="440" w:lineRule="exact"/>
        <w:ind w:firstLine="480" w:firstLineChars="200"/>
        <w:jc w:val="left"/>
        <w:rPr>
          <w:rFonts w:hint="eastAsia" w:ascii="宋体" w:hAnsi="宋体"/>
          <w:sz w:val="24"/>
          <w:szCs w:val="24"/>
        </w:rPr>
      </w:pPr>
      <w:r>
        <w:rPr>
          <w:rFonts w:hint="eastAsia" w:ascii="宋体" w:hAnsi="宋体"/>
          <w:sz w:val="24"/>
          <w:szCs w:val="24"/>
        </w:rPr>
        <w:t>5.1合同价</w:t>
      </w:r>
      <w:r>
        <w:rPr>
          <w:rFonts w:hint="eastAsia" w:ascii="宋体" w:hAnsi="宋体"/>
          <w:sz w:val="24"/>
          <w:szCs w:val="24"/>
          <w:lang w:eastAsia="zh-CN"/>
        </w:rPr>
        <w:t>为固定总价包干即为</w:t>
      </w:r>
      <w:r>
        <w:rPr>
          <w:rFonts w:hint="eastAsia" w:ascii="宋体" w:hAnsi="宋体"/>
          <w:sz w:val="24"/>
          <w:szCs w:val="24"/>
        </w:rPr>
        <w:t>中标价（投标报价）人民币</w:t>
      </w:r>
      <w:r>
        <w:rPr>
          <w:rFonts w:hint="eastAsia" w:ascii="宋体" w:hAnsi="宋体"/>
          <w:sz w:val="24"/>
          <w:szCs w:val="24"/>
          <w:u w:val="single"/>
        </w:rPr>
        <w:t xml:space="preserve">        </w:t>
      </w:r>
      <w:r>
        <w:rPr>
          <w:rFonts w:hint="eastAsia" w:ascii="宋体" w:hAnsi="宋体"/>
          <w:sz w:val="24"/>
          <w:szCs w:val="24"/>
        </w:rPr>
        <w:t>万元（大写</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eastAsia="zh-CN"/>
        </w:rPr>
        <w:t>发包人</w:t>
      </w:r>
      <w:r>
        <w:rPr>
          <w:rFonts w:hint="eastAsia" w:ascii="宋体" w:hAnsi="宋体"/>
          <w:sz w:val="24"/>
          <w:szCs w:val="24"/>
        </w:rPr>
        <w:t>有权根据工程需要增加监测内容或监测次数，以确保基坑及周边建筑物的安全，</w:t>
      </w:r>
      <w:r>
        <w:rPr>
          <w:rFonts w:hint="eastAsia" w:ascii="宋体" w:hAnsi="宋体"/>
          <w:sz w:val="24"/>
          <w:szCs w:val="24"/>
          <w:lang w:eastAsia="zh-CN"/>
        </w:rPr>
        <w:t>但费用已包含在本次报价中。</w:t>
      </w:r>
    </w:p>
    <w:p>
      <w:pPr>
        <w:spacing w:beforeLines="30" w:line="440" w:lineRule="exact"/>
        <w:ind w:firstLine="480" w:firstLineChars="200"/>
        <w:jc w:val="left"/>
        <w:rPr>
          <w:rFonts w:ascii="宋体" w:hAnsi="宋体"/>
          <w:sz w:val="24"/>
          <w:szCs w:val="24"/>
        </w:rPr>
      </w:pPr>
      <w:r>
        <w:rPr>
          <w:rFonts w:hint="eastAsia" w:ascii="宋体" w:hAnsi="宋体"/>
          <w:sz w:val="24"/>
          <w:szCs w:val="24"/>
        </w:rPr>
        <w:t>合同价是</w:t>
      </w:r>
      <w:r>
        <w:rPr>
          <w:rFonts w:hint="eastAsia" w:ascii="宋体" w:hAnsi="宋体"/>
          <w:sz w:val="24"/>
          <w:szCs w:val="24"/>
          <w:lang w:eastAsia="zh-CN"/>
        </w:rPr>
        <w:t>承包人</w:t>
      </w:r>
      <w:r>
        <w:rPr>
          <w:rFonts w:hint="eastAsia" w:ascii="宋体" w:hAnsi="宋体"/>
          <w:sz w:val="24"/>
          <w:szCs w:val="24"/>
        </w:rPr>
        <w:t>为实施和完成本工程全部监测工作所需的人员工资、社会福利、各种津贴及加班、技术服务费、现场费用（包括办公及生活设施、设备、通讯费用）、仪器设备的使用和管理、各种管理费、保险、利润和税金、不可预见费用等费用内容，以及合同明示或暗示的所有风险、责任和义务。</w:t>
      </w:r>
    </w:p>
    <w:p>
      <w:pPr>
        <w:spacing w:beforeLines="30" w:line="440" w:lineRule="exact"/>
        <w:ind w:firstLine="480" w:firstLineChars="200"/>
        <w:jc w:val="left"/>
        <w:rPr>
          <w:rFonts w:ascii="宋体" w:hAnsi="宋体"/>
          <w:sz w:val="24"/>
          <w:szCs w:val="24"/>
        </w:rPr>
      </w:pPr>
      <w:r>
        <w:rPr>
          <w:rFonts w:hint="eastAsia" w:ascii="宋体" w:hAnsi="宋体"/>
          <w:sz w:val="24"/>
          <w:szCs w:val="24"/>
        </w:rPr>
        <w:t>合同价由基本费用（占90%）和绩效费用（占10%）组成。</w:t>
      </w:r>
    </w:p>
    <w:p>
      <w:pPr>
        <w:spacing w:beforeLines="30" w:line="440" w:lineRule="exact"/>
        <w:ind w:firstLine="480" w:firstLineChars="200"/>
        <w:jc w:val="left"/>
        <w:rPr>
          <w:rFonts w:ascii="宋体" w:hAnsi="宋体"/>
          <w:snapToGrid w:val="0"/>
          <w:sz w:val="24"/>
        </w:rPr>
      </w:pPr>
      <w:r>
        <w:rPr>
          <w:rFonts w:hint="eastAsia" w:ascii="宋体" w:hAnsi="宋体"/>
          <w:snapToGrid w:val="0"/>
          <w:sz w:val="24"/>
        </w:rPr>
        <w:t>合同结算价中基本费用和绩效费用按下述原则确定：</w:t>
      </w:r>
    </w:p>
    <w:p>
      <w:pPr>
        <w:spacing w:beforeLines="30" w:line="440" w:lineRule="exact"/>
        <w:ind w:firstLine="480" w:firstLineChars="200"/>
        <w:jc w:val="left"/>
        <w:rPr>
          <w:rFonts w:ascii="宋体" w:hAnsi="宋体"/>
          <w:snapToGrid w:val="0"/>
          <w:sz w:val="24"/>
        </w:rPr>
      </w:pPr>
      <w:r>
        <w:rPr>
          <w:rFonts w:hint="eastAsia" w:ascii="宋体" w:hAnsi="宋体"/>
          <w:snapToGrid w:val="0"/>
          <w:sz w:val="24"/>
        </w:rPr>
        <w:t>（a）基本费用按下述计算公式确定：</w:t>
      </w:r>
    </w:p>
    <w:p>
      <w:pPr>
        <w:spacing w:beforeLines="30" w:line="440" w:lineRule="exact"/>
        <w:ind w:firstLine="480" w:firstLineChars="200"/>
        <w:jc w:val="left"/>
        <w:rPr>
          <w:rFonts w:hint="eastAsia" w:ascii="宋体" w:hAnsi="宋体"/>
          <w:snapToGrid w:val="0"/>
          <w:sz w:val="24"/>
        </w:rPr>
      </w:pPr>
      <w:r>
        <w:rPr>
          <w:rFonts w:hint="eastAsia" w:ascii="宋体" w:hAnsi="宋体"/>
          <w:snapToGrid w:val="0"/>
          <w:sz w:val="24"/>
        </w:rPr>
        <w:t>基本费用＝合同价</w:t>
      </w:r>
      <w:r>
        <w:rPr>
          <w:rFonts w:hint="eastAsia" w:ascii="宋体" w:hAnsi="宋体"/>
          <w:snapToGrid w:val="0"/>
          <w:sz w:val="24"/>
          <w:lang w:eastAsia="zh-CN"/>
        </w:rPr>
        <w:t>（中标价）</w:t>
      </w:r>
      <w:r>
        <w:rPr>
          <w:rFonts w:hint="eastAsia" w:ascii="宋体" w:hAnsi="宋体"/>
          <w:snapToGrid w:val="0"/>
          <w:sz w:val="24"/>
        </w:rPr>
        <w:t>×90%</w:t>
      </w:r>
    </w:p>
    <w:p>
      <w:pPr>
        <w:spacing w:beforeLines="30" w:line="440" w:lineRule="exact"/>
        <w:ind w:firstLine="480" w:firstLineChars="200"/>
        <w:jc w:val="left"/>
        <w:rPr>
          <w:rFonts w:ascii="宋体" w:hAnsi="宋体"/>
          <w:snapToGrid w:val="0"/>
          <w:sz w:val="24"/>
        </w:rPr>
      </w:pPr>
      <w:r>
        <w:rPr>
          <w:rFonts w:hint="eastAsia" w:ascii="宋体" w:hAnsi="宋体"/>
          <w:snapToGrid w:val="0"/>
          <w:sz w:val="24"/>
        </w:rPr>
        <w:t>（b）实际绩效费用需根据履约评价结果及履约处罚情况确定。</w:t>
      </w:r>
    </w:p>
    <w:tbl>
      <w:tblPr>
        <w:tblStyle w:val="25"/>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077"/>
        <w:gridCol w:w="44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077" w:type="dxa"/>
          </w:tcPr>
          <w:p>
            <w:pPr>
              <w:spacing w:beforeLines="30" w:line="440" w:lineRule="exact"/>
              <w:jc w:val="center"/>
              <w:rPr>
                <w:rFonts w:ascii="宋体" w:hAnsi="宋体"/>
                <w:b/>
                <w:snapToGrid w:val="0"/>
                <w:sz w:val="24"/>
              </w:rPr>
            </w:pPr>
            <w:r>
              <w:rPr>
                <w:rFonts w:hint="eastAsia" w:ascii="宋体" w:hAnsi="宋体"/>
                <w:b/>
                <w:snapToGrid w:val="0"/>
                <w:sz w:val="24"/>
              </w:rPr>
              <w:t>履约评价得分</w:t>
            </w:r>
          </w:p>
        </w:tc>
        <w:tc>
          <w:tcPr>
            <w:tcW w:w="4445" w:type="dxa"/>
          </w:tcPr>
          <w:p>
            <w:pPr>
              <w:spacing w:beforeLines="30" w:line="440" w:lineRule="exact"/>
              <w:jc w:val="center"/>
              <w:rPr>
                <w:rFonts w:ascii="宋体" w:hAnsi="宋体"/>
                <w:b/>
                <w:snapToGrid w:val="0"/>
                <w:sz w:val="24"/>
              </w:rPr>
            </w:pPr>
            <w:r>
              <w:rPr>
                <w:rFonts w:hint="eastAsia" w:ascii="宋体" w:hAnsi="宋体"/>
                <w:b/>
                <w:snapToGrid w:val="0"/>
                <w:sz w:val="24"/>
              </w:rPr>
              <w:t>对应的实际绩效费用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077" w:type="dxa"/>
          </w:tcPr>
          <w:p>
            <w:pPr>
              <w:spacing w:beforeLines="30" w:line="440" w:lineRule="exact"/>
              <w:jc w:val="center"/>
              <w:rPr>
                <w:rFonts w:ascii="宋体" w:hAnsi="宋体"/>
                <w:snapToGrid w:val="0"/>
                <w:sz w:val="24"/>
              </w:rPr>
            </w:pPr>
            <w:r>
              <w:rPr>
                <w:rFonts w:hint="eastAsia" w:ascii="宋体" w:hAnsi="宋体"/>
                <w:snapToGrid w:val="0"/>
                <w:sz w:val="24"/>
              </w:rPr>
              <w:t>90分以上</w:t>
            </w:r>
          </w:p>
        </w:tc>
        <w:tc>
          <w:tcPr>
            <w:tcW w:w="4445" w:type="dxa"/>
          </w:tcPr>
          <w:p>
            <w:pPr>
              <w:spacing w:beforeLines="30" w:line="440" w:lineRule="exact"/>
              <w:jc w:val="center"/>
              <w:rPr>
                <w:rFonts w:ascii="宋体" w:hAnsi="宋体"/>
                <w:snapToGrid w:val="0"/>
                <w:sz w:val="24"/>
              </w:rPr>
            </w:pPr>
            <w:r>
              <w:rPr>
                <w:rFonts w:hint="eastAsia" w:ascii="宋体" w:hAnsi="宋体"/>
                <w:snapToGrid w:val="0"/>
                <w:sz w:val="24"/>
              </w:rPr>
              <w:t>绩效费用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077" w:type="dxa"/>
          </w:tcPr>
          <w:p>
            <w:pPr>
              <w:spacing w:beforeLines="30" w:line="440" w:lineRule="exact"/>
              <w:jc w:val="center"/>
              <w:rPr>
                <w:rFonts w:ascii="宋体" w:hAnsi="宋体"/>
                <w:snapToGrid w:val="0"/>
                <w:sz w:val="24"/>
              </w:rPr>
            </w:pPr>
            <w:r>
              <w:rPr>
                <w:rFonts w:hint="eastAsia" w:ascii="宋体" w:hAnsi="宋体"/>
                <w:snapToGrid w:val="0"/>
                <w:sz w:val="24"/>
              </w:rPr>
              <w:t>60分以上，90分以下</w:t>
            </w:r>
          </w:p>
        </w:tc>
        <w:tc>
          <w:tcPr>
            <w:tcW w:w="4445" w:type="dxa"/>
          </w:tcPr>
          <w:p>
            <w:pPr>
              <w:spacing w:beforeLines="30" w:line="440" w:lineRule="exact"/>
              <w:jc w:val="center"/>
              <w:rPr>
                <w:rFonts w:ascii="宋体" w:hAnsi="宋体"/>
                <w:snapToGrid w:val="0"/>
                <w:sz w:val="24"/>
              </w:rPr>
            </w:pPr>
            <w:r>
              <w:rPr>
                <w:rFonts w:hint="eastAsia" w:ascii="宋体" w:hAnsi="宋体"/>
                <w:snapToGrid w:val="0"/>
                <w:sz w:val="24"/>
              </w:rPr>
              <w:t>绩效费用×（履约评价得分-60）/（90-60）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4077" w:type="dxa"/>
          </w:tcPr>
          <w:p>
            <w:pPr>
              <w:spacing w:beforeLines="30" w:line="440" w:lineRule="exact"/>
              <w:jc w:val="center"/>
              <w:rPr>
                <w:rFonts w:ascii="宋体" w:hAnsi="宋体"/>
                <w:snapToGrid w:val="0"/>
                <w:sz w:val="24"/>
              </w:rPr>
            </w:pPr>
            <w:r>
              <w:rPr>
                <w:rFonts w:hint="eastAsia" w:ascii="宋体" w:hAnsi="宋体"/>
                <w:snapToGrid w:val="0"/>
                <w:sz w:val="24"/>
              </w:rPr>
              <w:t>60分以下</w:t>
            </w:r>
          </w:p>
        </w:tc>
        <w:tc>
          <w:tcPr>
            <w:tcW w:w="4445" w:type="dxa"/>
          </w:tcPr>
          <w:p>
            <w:pPr>
              <w:spacing w:beforeLines="30" w:line="440" w:lineRule="exact"/>
              <w:jc w:val="center"/>
              <w:rPr>
                <w:rFonts w:ascii="宋体" w:hAnsi="宋体"/>
                <w:snapToGrid w:val="0"/>
                <w:sz w:val="24"/>
              </w:rPr>
            </w:pPr>
            <w:r>
              <w:rPr>
                <w:rFonts w:hint="eastAsia" w:ascii="宋体" w:hAnsi="宋体"/>
                <w:snapToGrid w:val="0"/>
                <w:sz w:val="24"/>
              </w:rPr>
              <w:t>0</w:t>
            </w:r>
          </w:p>
        </w:tc>
      </w:tr>
    </w:tbl>
    <w:p>
      <w:pPr>
        <w:spacing w:beforeLines="30" w:line="440" w:lineRule="exact"/>
        <w:ind w:firstLine="480" w:firstLineChars="200"/>
        <w:jc w:val="left"/>
        <w:rPr>
          <w:rFonts w:ascii="宋体" w:hAnsi="宋体"/>
          <w:snapToGrid w:val="0"/>
          <w:sz w:val="24"/>
        </w:rPr>
      </w:pPr>
      <w:r>
        <w:rPr>
          <w:rFonts w:hint="eastAsia" w:ascii="宋体" w:hAnsi="宋体"/>
          <w:snapToGrid w:val="0"/>
          <w:sz w:val="24"/>
        </w:rPr>
        <w:t>履约评价得分在60分以下的，履约不合格，</w:t>
      </w:r>
      <w:r>
        <w:rPr>
          <w:rFonts w:hint="eastAsia" w:ascii="宋体" w:hAnsi="宋体"/>
          <w:snapToGrid w:val="0"/>
          <w:sz w:val="24"/>
          <w:lang w:eastAsia="zh-CN"/>
        </w:rPr>
        <w:t>发包人</w:t>
      </w:r>
      <w:r>
        <w:rPr>
          <w:rFonts w:hint="eastAsia" w:ascii="宋体" w:hAnsi="宋体"/>
          <w:snapToGrid w:val="0"/>
          <w:sz w:val="24"/>
        </w:rPr>
        <w:t>将提请建设行政主管部门作不良行为记录，</w:t>
      </w:r>
      <w:r>
        <w:rPr>
          <w:rFonts w:hint="eastAsia" w:ascii="宋体" w:hAnsi="宋体"/>
          <w:snapToGrid w:val="0"/>
          <w:sz w:val="24"/>
          <w:lang w:eastAsia="zh-CN"/>
        </w:rPr>
        <w:t>；</w:t>
      </w:r>
      <w:r>
        <w:rPr>
          <w:rFonts w:hint="eastAsia" w:ascii="宋体" w:hAnsi="宋体"/>
          <w:snapToGrid w:val="0"/>
          <w:sz w:val="24"/>
        </w:rPr>
        <w:t>情节严重的，</w:t>
      </w:r>
      <w:r>
        <w:rPr>
          <w:rFonts w:hint="eastAsia" w:ascii="宋体" w:hAnsi="宋体"/>
          <w:snapToGrid w:val="0"/>
          <w:sz w:val="24"/>
          <w:lang w:eastAsia="zh-CN"/>
        </w:rPr>
        <w:t>发包人</w:t>
      </w:r>
      <w:r>
        <w:rPr>
          <w:rFonts w:hint="eastAsia" w:ascii="宋体" w:hAnsi="宋体"/>
          <w:snapToGrid w:val="0"/>
          <w:sz w:val="24"/>
        </w:rPr>
        <w:t>有权终止合同，由此造成的后果由承包商承担。</w:t>
      </w:r>
    </w:p>
    <w:p>
      <w:pPr>
        <w:spacing w:beforeLines="30" w:line="440" w:lineRule="exact"/>
        <w:ind w:firstLine="480" w:firstLineChars="200"/>
        <w:jc w:val="left"/>
        <w:rPr>
          <w:rFonts w:ascii="宋体" w:hAnsi="宋体"/>
          <w:snapToGrid w:val="0"/>
          <w:sz w:val="24"/>
        </w:rPr>
      </w:pPr>
      <w:r>
        <w:rPr>
          <w:rFonts w:hint="eastAsia" w:ascii="宋体" w:hAnsi="宋体"/>
          <w:snapToGrid w:val="0"/>
          <w:sz w:val="24"/>
          <w:lang w:eastAsia="zh-CN"/>
        </w:rPr>
        <w:t>承包人</w:t>
      </w:r>
      <w:r>
        <w:rPr>
          <w:rFonts w:hint="eastAsia" w:ascii="宋体" w:hAnsi="宋体"/>
          <w:snapToGrid w:val="0"/>
          <w:sz w:val="24"/>
        </w:rPr>
        <w:t>在完成本合同规定的全部监测任务后由</w:t>
      </w:r>
      <w:r>
        <w:rPr>
          <w:rFonts w:hint="eastAsia" w:ascii="宋体" w:hAnsi="宋体"/>
          <w:snapToGrid w:val="0"/>
          <w:sz w:val="24"/>
          <w:lang w:eastAsia="zh-CN"/>
        </w:rPr>
        <w:t>发包人</w:t>
      </w:r>
      <w:r>
        <w:rPr>
          <w:rFonts w:hint="eastAsia" w:ascii="宋体" w:hAnsi="宋体"/>
          <w:snapToGrid w:val="0"/>
          <w:sz w:val="24"/>
        </w:rPr>
        <w:t>进行履约评价1次，</w:t>
      </w:r>
      <w:r>
        <w:rPr>
          <w:rFonts w:hint="eastAsia" w:ascii="宋体" w:hAnsi="宋体"/>
          <w:snapToGrid w:val="0"/>
          <w:sz w:val="24"/>
          <w:lang w:eastAsia="zh-CN"/>
        </w:rPr>
        <w:t>发包人</w:t>
      </w:r>
      <w:r>
        <w:rPr>
          <w:rFonts w:hint="eastAsia" w:ascii="宋体" w:hAnsi="宋体"/>
          <w:snapToGrid w:val="0"/>
          <w:sz w:val="24"/>
        </w:rPr>
        <w:t>根据</w:t>
      </w:r>
      <w:r>
        <w:rPr>
          <w:rFonts w:hint="eastAsia" w:ascii="宋体" w:hAnsi="宋体"/>
          <w:snapToGrid w:val="0"/>
          <w:sz w:val="24"/>
          <w:lang w:eastAsia="zh-CN"/>
        </w:rPr>
        <w:t>承包人</w:t>
      </w:r>
      <w:r>
        <w:rPr>
          <w:rFonts w:hint="eastAsia" w:ascii="宋体" w:hAnsi="宋体"/>
          <w:snapToGrid w:val="0"/>
          <w:sz w:val="24"/>
        </w:rPr>
        <w:t>履约评价得分计算实际绩效费用。</w:t>
      </w:r>
    </w:p>
    <w:p>
      <w:pPr>
        <w:spacing w:beforeLines="30" w:line="440" w:lineRule="exact"/>
        <w:ind w:firstLine="480" w:firstLineChars="200"/>
        <w:jc w:val="left"/>
        <w:rPr>
          <w:rFonts w:ascii="宋体" w:hAnsi="宋体"/>
          <w:snapToGrid w:val="0"/>
          <w:sz w:val="24"/>
        </w:rPr>
      </w:pPr>
      <w:r>
        <w:rPr>
          <w:rFonts w:hint="eastAsia" w:ascii="宋体" w:hAnsi="宋体"/>
          <w:snapToGrid w:val="0"/>
          <w:sz w:val="24"/>
        </w:rPr>
        <w:t xml:space="preserve"> 上述实际绩效费用以审计部门审计结果为准，并在审计完成后</w:t>
      </w:r>
      <w:r>
        <w:rPr>
          <w:rFonts w:hint="eastAsia" w:ascii="宋体" w:hAnsi="宋体"/>
          <w:snapToGrid w:val="0"/>
          <w:sz w:val="24"/>
          <w:lang w:eastAsia="zh-CN"/>
        </w:rPr>
        <w:t>承包人</w:t>
      </w:r>
      <w:r>
        <w:rPr>
          <w:rFonts w:hint="eastAsia" w:ascii="宋体" w:hAnsi="宋体"/>
          <w:snapToGrid w:val="0"/>
          <w:sz w:val="24"/>
        </w:rPr>
        <w:t>提出相应申请，</w:t>
      </w:r>
      <w:r>
        <w:rPr>
          <w:rFonts w:hint="eastAsia" w:ascii="宋体" w:hAnsi="宋体"/>
          <w:snapToGrid w:val="0"/>
          <w:sz w:val="24"/>
          <w:lang w:eastAsia="zh-CN"/>
        </w:rPr>
        <w:t>发包人</w:t>
      </w:r>
      <w:r>
        <w:rPr>
          <w:rFonts w:hint="eastAsia" w:ascii="宋体" w:hAnsi="宋体"/>
          <w:snapToGrid w:val="0"/>
          <w:sz w:val="24"/>
        </w:rPr>
        <w:t>审核确认后向</w:t>
      </w:r>
      <w:r>
        <w:rPr>
          <w:rFonts w:hint="eastAsia" w:ascii="宋体" w:hAnsi="宋体"/>
          <w:snapToGrid w:val="0"/>
          <w:sz w:val="24"/>
          <w:lang w:eastAsia="zh-CN"/>
        </w:rPr>
        <w:t>承包人</w:t>
      </w:r>
      <w:r>
        <w:rPr>
          <w:rFonts w:hint="eastAsia" w:ascii="宋体" w:hAnsi="宋体"/>
          <w:snapToGrid w:val="0"/>
          <w:sz w:val="24"/>
        </w:rPr>
        <w:t>支付，付款时间以</w:t>
      </w:r>
      <w:r>
        <w:rPr>
          <w:rFonts w:hint="eastAsia" w:ascii="宋体" w:hAnsi="宋体"/>
          <w:snapToGrid w:val="0"/>
          <w:sz w:val="24"/>
          <w:lang w:eastAsia="zh-CN"/>
        </w:rPr>
        <w:t>发包人</w:t>
      </w:r>
      <w:r>
        <w:rPr>
          <w:rFonts w:hint="eastAsia" w:ascii="宋体" w:hAnsi="宋体"/>
          <w:snapToGrid w:val="0"/>
          <w:sz w:val="24"/>
        </w:rPr>
        <w:t>实际支付为准。</w:t>
      </w:r>
    </w:p>
    <w:p>
      <w:pPr>
        <w:spacing w:beforeLines="30" w:line="440" w:lineRule="exact"/>
        <w:ind w:firstLine="480" w:firstLineChars="200"/>
        <w:jc w:val="left"/>
        <w:rPr>
          <w:rFonts w:ascii="宋体" w:hAnsi="宋体"/>
          <w:snapToGrid w:val="0"/>
          <w:sz w:val="24"/>
        </w:rPr>
      </w:pPr>
      <w:r>
        <w:rPr>
          <w:rFonts w:hint="eastAsia" w:ascii="宋体" w:hAnsi="宋体"/>
          <w:snapToGrid w:val="0"/>
          <w:sz w:val="24"/>
        </w:rPr>
        <w:t>（c）</w:t>
      </w:r>
      <w:r>
        <w:rPr>
          <w:rFonts w:hint="eastAsia" w:ascii="宋体" w:hAnsi="宋体"/>
          <w:snapToGrid w:val="0"/>
          <w:sz w:val="24"/>
          <w:lang w:eastAsia="zh-CN"/>
        </w:rPr>
        <w:t>承包人</w:t>
      </w:r>
      <w:r>
        <w:rPr>
          <w:rFonts w:hint="eastAsia" w:ascii="宋体" w:hAnsi="宋体"/>
          <w:snapToGrid w:val="0"/>
          <w:sz w:val="24"/>
        </w:rPr>
        <w:t>须承担工程投资规模变化、设计条件变更、规划调整等原因而导致服务内容调整的风险。</w:t>
      </w:r>
      <w:r>
        <w:rPr>
          <w:rFonts w:hint="eastAsia" w:ascii="宋体" w:hAnsi="宋体"/>
          <w:snapToGrid w:val="0"/>
          <w:sz w:val="24"/>
          <w:lang w:eastAsia="zh-CN"/>
        </w:rPr>
        <w:t>承包人</w:t>
      </w:r>
      <w:r>
        <w:rPr>
          <w:rFonts w:hint="eastAsia" w:ascii="宋体" w:hAnsi="宋体"/>
          <w:snapToGrid w:val="0"/>
          <w:sz w:val="24"/>
        </w:rPr>
        <w:t>不能因此向</w:t>
      </w:r>
      <w:r>
        <w:rPr>
          <w:rFonts w:hint="eastAsia" w:ascii="宋体" w:hAnsi="宋体"/>
          <w:snapToGrid w:val="0"/>
          <w:sz w:val="24"/>
          <w:lang w:eastAsia="zh-CN"/>
        </w:rPr>
        <w:t>发包人</w:t>
      </w:r>
      <w:r>
        <w:rPr>
          <w:rFonts w:hint="eastAsia" w:ascii="宋体" w:hAnsi="宋体"/>
          <w:snapToGrid w:val="0"/>
          <w:sz w:val="24"/>
        </w:rPr>
        <w:t>提出相关索赔要求。</w:t>
      </w:r>
    </w:p>
    <w:p>
      <w:pPr>
        <w:spacing w:beforeLines="30" w:line="440" w:lineRule="exact"/>
        <w:ind w:firstLine="480" w:firstLineChars="200"/>
        <w:jc w:val="left"/>
        <w:rPr>
          <w:rFonts w:ascii="宋体" w:hAnsi="宋体"/>
          <w:snapToGrid w:val="0"/>
          <w:sz w:val="24"/>
        </w:rPr>
      </w:pPr>
      <w:r>
        <w:rPr>
          <w:rFonts w:hint="eastAsia" w:ascii="宋体" w:hAnsi="宋体"/>
          <w:snapToGrid w:val="0"/>
          <w:sz w:val="24"/>
        </w:rPr>
        <w:t>（</w:t>
      </w:r>
      <w:r>
        <w:rPr>
          <w:rFonts w:hint="eastAsia" w:ascii="宋体" w:hAnsi="宋体"/>
          <w:snapToGrid w:val="0"/>
          <w:sz w:val="24"/>
          <w:lang w:val="en-US" w:eastAsia="zh-CN"/>
        </w:rPr>
        <w:t>d</w:t>
      </w:r>
      <w:r>
        <w:rPr>
          <w:rFonts w:hint="eastAsia" w:ascii="宋体" w:hAnsi="宋体"/>
          <w:snapToGrid w:val="0"/>
          <w:sz w:val="24"/>
        </w:rPr>
        <w:t>）与监测有关的控制点布设的型式、数量、位置及控制网的建立、联测工作，必须符合国家先行规范规程的要求，并必须充分满足本监测全部工作的质量和成果的需要，超过</w:t>
      </w:r>
      <w:r>
        <w:rPr>
          <w:rFonts w:hint="eastAsia" w:ascii="宋体" w:hAnsi="宋体"/>
          <w:snapToGrid w:val="0"/>
          <w:sz w:val="24"/>
          <w:lang w:eastAsia="zh-CN"/>
        </w:rPr>
        <w:t>发包人</w:t>
      </w:r>
      <w:r>
        <w:rPr>
          <w:rFonts w:hint="eastAsia" w:ascii="宋体" w:hAnsi="宋体"/>
          <w:snapToGrid w:val="0"/>
          <w:sz w:val="24"/>
        </w:rPr>
        <w:t>批准的监测方案及图纸要求控制点布设数量部分，由</w:t>
      </w:r>
      <w:r>
        <w:rPr>
          <w:rFonts w:hint="eastAsia" w:ascii="宋体" w:hAnsi="宋体"/>
          <w:snapToGrid w:val="0"/>
          <w:sz w:val="24"/>
          <w:lang w:eastAsia="zh-CN"/>
        </w:rPr>
        <w:t>承包人</w:t>
      </w:r>
      <w:r>
        <w:rPr>
          <w:rFonts w:hint="eastAsia" w:ascii="宋体" w:hAnsi="宋体"/>
          <w:snapToGrid w:val="0"/>
          <w:sz w:val="24"/>
        </w:rPr>
        <w:t>自行承担。监测项目</w:t>
      </w:r>
      <w:r>
        <w:rPr>
          <w:rFonts w:hint="eastAsia" w:ascii="宋体" w:hAnsi="宋体"/>
          <w:snapToGrid w:val="0"/>
          <w:sz w:val="24"/>
          <w:lang w:eastAsia="zh-CN"/>
        </w:rPr>
        <w:t>合同</w:t>
      </w:r>
      <w:r>
        <w:rPr>
          <w:rFonts w:hint="eastAsia" w:ascii="宋体" w:hAnsi="宋体"/>
          <w:snapToGrid w:val="0"/>
          <w:sz w:val="24"/>
        </w:rPr>
        <w:t>价中已包含下述费用：包括</w:t>
      </w:r>
      <w:r>
        <w:rPr>
          <w:rFonts w:hint="eastAsia" w:ascii="宋体" w:hAnsi="宋体"/>
          <w:snapToGrid w:val="0"/>
          <w:sz w:val="24"/>
          <w:lang w:eastAsia="zh-CN"/>
        </w:rPr>
        <w:t>承包人</w:t>
      </w:r>
      <w:r>
        <w:rPr>
          <w:rFonts w:hint="eastAsia" w:ascii="宋体" w:hAnsi="宋体"/>
          <w:snapToGrid w:val="0"/>
          <w:sz w:val="24"/>
        </w:rPr>
        <w:t>可能需要从城市高程点及坐标点引测至本项目场地的工作、设备进退场（包括二次进退场）、控制点的制安费、测绘以及各项规费、保险、税费、利润等一切费用，结算时不再另行计费。</w:t>
      </w:r>
    </w:p>
    <w:p>
      <w:pPr>
        <w:spacing w:beforeLines="30" w:line="440" w:lineRule="exact"/>
        <w:ind w:firstLine="480" w:firstLineChars="200"/>
        <w:jc w:val="left"/>
        <w:rPr>
          <w:rFonts w:ascii="宋体" w:hAnsi="宋体"/>
          <w:snapToGrid w:val="0"/>
          <w:sz w:val="24"/>
        </w:rPr>
      </w:pPr>
      <w:r>
        <w:rPr>
          <w:rFonts w:hint="eastAsia" w:ascii="宋体" w:hAnsi="宋体"/>
          <w:snapToGrid w:val="0"/>
          <w:sz w:val="24"/>
        </w:rPr>
        <w:t>（</w:t>
      </w:r>
      <w:r>
        <w:rPr>
          <w:rFonts w:hint="eastAsia" w:ascii="宋体" w:hAnsi="宋体"/>
          <w:snapToGrid w:val="0"/>
          <w:sz w:val="24"/>
          <w:lang w:val="en-US" w:eastAsia="zh-CN"/>
        </w:rPr>
        <w:t>e</w:t>
      </w:r>
      <w:r>
        <w:rPr>
          <w:rFonts w:hint="eastAsia" w:ascii="宋体" w:hAnsi="宋体"/>
          <w:snapToGrid w:val="0"/>
          <w:sz w:val="24"/>
        </w:rPr>
        <w:t>）监测点由</w:t>
      </w:r>
      <w:r>
        <w:rPr>
          <w:rFonts w:hint="eastAsia" w:ascii="宋体" w:hAnsi="宋体"/>
          <w:snapToGrid w:val="0"/>
          <w:sz w:val="24"/>
          <w:lang w:eastAsia="zh-CN"/>
        </w:rPr>
        <w:t>承包人</w:t>
      </w:r>
      <w:r>
        <w:rPr>
          <w:rFonts w:hint="eastAsia" w:ascii="宋体" w:hAnsi="宋体"/>
          <w:snapToGrid w:val="0"/>
          <w:sz w:val="24"/>
        </w:rPr>
        <w:t>制作埋设。监测点的数量与位置按照设计图纸和监测方案要求，其型式必须符合国家现行相关规范规程的要求，并必须充分满足本监测全部工作的质量和成果的需求，并做好监测期间监测点的保护工作。超过</w:t>
      </w:r>
      <w:r>
        <w:rPr>
          <w:rFonts w:hint="eastAsia" w:ascii="宋体" w:hAnsi="宋体"/>
          <w:snapToGrid w:val="0"/>
          <w:sz w:val="24"/>
          <w:lang w:eastAsia="zh-CN"/>
        </w:rPr>
        <w:t>发包人</w:t>
      </w:r>
      <w:r>
        <w:rPr>
          <w:rFonts w:hint="eastAsia" w:ascii="宋体" w:hAnsi="宋体"/>
          <w:snapToGrid w:val="0"/>
          <w:sz w:val="24"/>
        </w:rPr>
        <w:t>批准的监测方案及图纸要求监测点布设数量部分，由</w:t>
      </w:r>
      <w:r>
        <w:rPr>
          <w:rFonts w:hint="eastAsia" w:ascii="宋体" w:hAnsi="宋体"/>
          <w:snapToGrid w:val="0"/>
          <w:sz w:val="24"/>
          <w:lang w:eastAsia="zh-CN"/>
        </w:rPr>
        <w:t>承包人</w:t>
      </w:r>
      <w:r>
        <w:rPr>
          <w:rFonts w:hint="eastAsia" w:ascii="宋体" w:hAnsi="宋体"/>
          <w:snapToGrid w:val="0"/>
          <w:sz w:val="24"/>
        </w:rPr>
        <w:t>自行承担。监测点的布设</w:t>
      </w:r>
      <w:r>
        <w:rPr>
          <w:rFonts w:hint="eastAsia" w:ascii="宋体" w:hAnsi="宋体"/>
          <w:snapToGrid w:val="0"/>
          <w:sz w:val="24"/>
          <w:lang w:eastAsia="zh-CN"/>
        </w:rPr>
        <w:t>费用</w:t>
      </w:r>
      <w:r>
        <w:rPr>
          <w:rFonts w:hint="eastAsia" w:ascii="宋体" w:hAnsi="宋体"/>
          <w:snapToGrid w:val="0"/>
          <w:sz w:val="24"/>
        </w:rPr>
        <w:t>包括每个监测点的制安费、设备进退场以及各项规费、保险、税费、利润等一切费用，结算时不再另行调整。</w:t>
      </w:r>
    </w:p>
    <w:p>
      <w:pPr>
        <w:spacing w:beforeLines="30" w:line="440" w:lineRule="exact"/>
        <w:ind w:firstLine="480" w:firstLineChars="200"/>
        <w:jc w:val="left"/>
        <w:rPr>
          <w:rFonts w:ascii="宋体" w:hAnsi="宋体"/>
          <w:snapToGrid w:val="0"/>
          <w:sz w:val="24"/>
        </w:rPr>
      </w:pPr>
      <w:r>
        <w:rPr>
          <w:rFonts w:hint="eastAsia" w:ascii="宋体" w:hAnsi="宋体"/>
          <w:snapToGrid w:val="0"/>
          <w:sz w:val="24"/>
        </w:rPr>
        <w:t>（</w:t>
      </w:r>
      <w:r>
        <w:rPr>
          <w:rFonts w:hint="eastAsia" w:ascii="宋体" w:hAnsi="宋体"/>
          <w:snapToGrid w:val="0"/>
          <w:sz w:val="24"/>
          <w:lang w:val="en-US" w:eastAsia="zh-CN"/>
        </w:rPr>
        <w:t>f</w:t>
      </w:r>
      <w:r>
        <w:rPr>
          <w:rFonts w:hint="eastAsia" w:ascii="宋体" w:hAnsi="宋体"/>
          <w:snapToGrid w:val="0"/>
          <w:sz w:val="24"/>
        </w:rPr>
        <w:t>）监测工作的</w:t>
      </w:r>
      <w:r>
        <w:rPr>
          <w:rFonts w:hint="eastAsia" w:ascii="宋体" w:hAnsi="宋体"/>
          <w:snapToGrid w:val="0"/>
          <w:sz w:val="24"/>
          <w:lang w:eastAsia="zh-CN"/>
        </w:rPr>
        <w:t>费用</w:t>
      </w:r>
      <w:r>
        <w:rPr>
          <w:rFonts w:hint="eastAsia" w:ascii="宋体" w:hAnsi="宋体"/>
          <w:snapToGrid w:val="0"/>
          <w:sz w:val="24"/>
        </w:rPr>
        <w:t>包括设备进退场、测绘、分析计算、编制技术成果以及各项规费、保险、税费利润等一切费用，以及因各种风险因素引起的费用，如暴风、台风、变形加大，监测点增加、工期延长、次数增加、现场情况变化等，结算时不再另行调整。</w:t>
      </w:r>
    </w:p>
    <w:p>
      <w:pPr>
        <w:spacing w:beforeLines="30" w:line="440" w:lineRule="exact"/>
        <w:ind w:firstLine="480" w:firstLineChars="200"/>
        <w:jc w:val="left"/>
        <w:rPr>
          <w:rFonts w:hint="eastAsia" w:ascii="宋体" w:hAnsi="宋体"/>
          <w:snapToGrid w:val="0"/>
          <w:sz w:val="24"/>
          <w:lang w:eastAsia="zh-CN"/>
        </w:rPr>
      </w:pPr>
      <w:r>
        <w:rPr>
          <w:rFonts w:hint="eastAsia" w:ascii="宋体" w:hAnsi="宋体"/>
          <w:snapToGrid w:val="0"/>
          <w:sz w:val="24"/>
        </w:rPr>
        <w:t>（</w:t>
      </w:r>
      <w:r>
        <w:rPr>
          <w:rFonts w:hint="eastAsia" w:ascii="宋体" w:hAnsi="宋体"/>
          <w:snapToGrid w:val="0"/>
          <w:sz w:val="24"/>
          <w:lang w:val="en-US" w:eastAsia="zh-CN"/>
        </w:rPr>
        <w:t>g</w:t>
      </w:r>
      <w:r>
        <w:rPr>
          <w:rFonts w:hint="eastAsia" w:ascii="宋体" w:hAnsi="宋体"/>
          <w:snapToGrid w:val="0"/>
          <w:sz w:val="24"/>
        </w:rPr>
        <w:t>）</w:t>
      </w:r>
      <w:r>
        <w:rPr>
          <w:rFonts w:hint="eastAsia" w:ascii="宋体" w:hAnsi="宋体"/>
          <w:snapToGrid w:val="0"/>
          <w:sz w:val="24"/>
          <w:lang w:eastAsia="zh-CN"/>
        </w:rPr>
        <w:t>承包人</w:t>
      </w:r>
      <w:r>
        <w:rPr>
          <w:rFonts w:hint="eastAsia" w:ascii="宋体" w:hAnsi="宋体"/>
          <w:snapToGrid w:val="0"/>
          <w:sz w:val="24"/>
        </w:rPr>
        <w:t>应积极配合处理设计、施工中出现的有关问题。在监测过程中，若出现异常，应及时通知监理及</w:t>
      </w:r>
      <w:r>
        <w:rPr>
          <w:rFonts w:hint="eastAsia" w:ascii="宋体" w:hAnsi="宋体"/>
          <w:snapToGrid w:val="0"/>
          <w:sz w:val="24"/>
          <w:lang w:eastAsia="zh-CN"/>
        </w:rPr>
        <w:t>发包人</w:t>
      </w:r>
      <w:r>
        <w:rPr>
          <w:rFonts w:hint="eastAsia" w:ascii="宋体" w:hAnsi="宋体"/>
          <w:snapToGrid w:val="0"/>
          <w:sz w:val="24"/>
        </w:rPr>
        <w:t>，由此而增加的监测次数或增加监测点造成费用的增加</w:t>
      </w:r>
      <w:r>
        <w:rPr>
          <w:rFonts w:hint="eastAsia" w:ascii="宋体" w:hAnsi="宋体"/>
          <w:snapToGrid w:val="0"/>
          <w:sz w:val="24"/>
          <w:lang w:eastAsia="zh-CN"/>
        </w:rPr>
        <w:t>包含在本次合同价款中，发包人不在另行支付。</w:t>
      </w:r>
    </w:p>
    <w:p>
      <w:pPr>
        <w:spacing w:beforeLines="30" w:line="440" w:lineRule="exact"/>
        <w:ind w:firstLine="480" w:firstLineChars="200"/>
        <w:jc w:val="left"/>
        <w:rPr>
          <w:rFonts w:ascii="宋体" w:hAnsi="宋体"/>
          <w:sz w:val="24"/>
          <w:szCs w:val="24"/>
        </w:rPr>
      </w:pPr>
      <w:r>
        <w:rPr>
          <w:rFonts w:hint="eastAsia" w:ascii="宋体" w:hAnsi="宋体"/>
          <w:snapToGrid w:val="0"/>
          <w:sz w:val="24"/>
        </w:rPr>
        <w:t>（</w:t>
      </w:r>
      <w:r>
        <w:rPr>
          <w:rFonts w:hint="eastAsia" w:ascii="宋体" w:hAnsi="宋体"/>
          <w:snapToGrid w:val="0"/>
          <w:sz w:val="24"/>
          <w:lang w:val="en-US" w:eastAsia="zh-CN"/>
        </w:rPr>
        <w:t>h</w:t>
      </w:r>
      <w:r>
        <w:rPr>
          <w:rFonts w:hint="eastAsia" w:ascii="宋体" w:hAnsi="宋体"/>
          <w:snapToGrid w:val="0"/>
          <w:sz w:val="24"/>
        </w:rPr>
        <w:t>）根据本项目的具体情况为按照国家相关规范而完成本项目的监测任务所增加的其他工作及费用包含在监测项目的</w:t>
      </w:r>
      <w:r>
        <w:rPr>
          <w:rFonts w:hint="eastAsia" w:ascii="宋体" w:hAnsi="宋体"/>
          <w:snapToGrid w:val="0"/>
          <w:sz w:val="24"/>
          <w:lang w:eastAsia="zh-CN"/>
        </w:rPr>
        <w:t>合同价</w:t>
      </w:r>
      <w:r>
        <w:rPr>
          <w:rFonts w:hint="eastAsia" w:ascii="宋体" w:hAnsi="宋体"/>
          <w:snapToGrid w:val="0"/>
          <w:sz w:val="24"/>
        </w:rPr>
        <w:t>中，不再另行调整。</w:t>
      </w:r>
    </w:p>
    <w:p>
      <w:pPr>
        <w:spacing w:beforeLines="30" w:line="440" w:lineRule="exact"/>
        <w:ind w:firstLine="480" w:firstLineChars="200"/>
        <w:jc w:val="left"/>
        <w:rPr>
          <w:rFonts w:ascii="宋体" w:hAnsi="宋体"/>
          <w:sz w:val="24"/>
          <w:szCs w:val="24"/>
        </w:rPr>
      </w:pPr>
      <w:r>
        <w:rPr>
          <w:rFonts w:hint="eastAsia" w:ascii="宋体" w:hAnsi="宋体"/>
          <w:sz w:val="24"/>
          <w:szCs w:val="24"/>
        </w:rPr>
        <w:t xml:space="preserve">第六条  </w:t>
      </w:r>
      <w:r>
        <w:rPr>
          <w:rFonts w:hint="eastAsia" w:ascii="宋体" w:hAnsi="宋体"/>
          <w:sz w:val="24"/>
        </w:rPr>
        <w:t>支付</w:t>
      </w:r>
    </w:p>
    <w:p>
      <w:pPr>
        <w:snapToGrid w:val="0"/>
        <w:spacing w:line="520" w:lineRule="exact"/>
        <w:ind w:firstLine="480" w:firstLineChars="200"/>
        <w:jc w:val="left"/>
        <w:textAlignment w:val="bottom"/>
        <w:rPr>
          <w:rFonts w:ascii="宋体" w:hAnsi="宋体"/>
          <w:snapToGrid w:val="0"/>
          <w:sz w:val="24"/>
        </w:rPr>
      </w:pPr>
      <w:r>
        <w:rPr>
          <w:rFonts w:hint="eastAsia" w:ascii="宋体" w:hAnsi="宋体"/>
          <w:snapToGrid w:val="0"/>
          <w:sz w:val="24"/>
        </w:rPr>
        <w:t>6.1无预付款。每三个月，支付一次进度款，按完成工程量的基本费用（占90%）的90%支付。监测完成且通过监理单位、</w:t>
      </w:r>
      <w:r>
        <w:rPr>
          <w:rFonts w:hint="eastAsia" w:ascii="宋体" w:hAnsi="宋体"/>
          <w:snapToGrid w:val="0"/>
          <w:sz w:val="24"/>
          <w:lang w:eastAsia="zh-CN"/>
        </w:rPr>
        <w:t>发包人</w:t>
      </w:r>
      <w:r>
        <w:rPr>
          <w:rFonts w:hint="eastAsia" w:ascii="宋体" w:hAnsi="宋体"/>
          <w:snapToGrid w:val="0"/>
          <w:sz w:val="24"/>
        </w:rPr>
        <w:t>确认，收到</w:t>
      </w:r>
      <w:r>
        <w:rPr>
          <w:rFonts w:hint="eastAsia" w:ascii="宋体" w:hAnsi="宋体"/>
          <w:snapToGrid w:val="0"/>
          <w:sz w:val="24"/>
          <w:lang w:eastAsia="zh-CN"/>
        </w:rPr>
        <w:t>承包人</w:t>
      </w:r>
      <w:r>
        <w:rPr>
          <w:rFonts w:hint="eastAsia" w:ascii="宋体" w:hAnsi="宋体"/>
          <w:snapToGrid w:val="0"/>
          <w:sz w:val="24"/>
        </w:rPr>
        <w:t>支付申请并审核确认，</w:t>
      </w:r>
      <w:r>
        <w:rPr>
          <w:rFonts w:hint="eastAsia" w:ascii="宋体" w:hAnsi="宋体"/>
          <w:snapToGrid w:val="0"/>
          <w:sz w:val="24"/>
          <w:lang w:eastAsia="zh-CN"/>
        </w:rPr>
        <w:t>发包人</w:t>
      </w:r>
      <w:r>
        <w:rPr>
          <w:rFonts w:hint="eastAsia" w:ascii="宋体" w:hAnsi="宋体"/>
          <w:snapToGrid w:val="0"/>
          <w:sz w:val="24"/>
        </w:rPr>
        <w:t>向</w:t>
      </w:r>
      <w:r>
        <w:rPr>
          <w:rFonts w:hint="eastAsia" w:ascii="宋体" w:hAnsi="宋体"/>
          <w:snapToGrid w:val="0"/>
          <w:sz w:val="24"/>
          <w:lang w:eastAsia="zh-CN"/>
        </w:rPr>
        <w:t>承包人</w:t>
      </w:r>
      <w:r>
        <w:rPr>
          <w:rFonts w:hint="eastAsia" w:ascii="宋体" w:hAnsi="宋体"/>
          <w:snapToGrid w:val="0"/>
          <w:sz w:val="24"/>
        </w:rPr>
        <w:t>支付，付款时间以</w:t>
      </w:r>
      <w:r>
        <w:rPr>
          <w:rFonts w:hint="eastAsia" w:ascii="宋体" w:hAnsi="宋体"/>
          <w:snapToGrid w:val="0"/>
          <w:sz w:val="24"/>
          <w:lang w:eastAsia="zh-CN"/>
        </w:rPr>
        <w:t>发包人</w:t>
      </w:r>
      <w:r>
        <w:rPr>
          <w:rFonts w:hint="eastAsia" w:ascii="宋体" w:hAnsi="宋体"/>
          <w:snapToGrid w:val="0"/>
          <w:sz w:val="24"/>
        </w:rPr>
        <w:t>实际支付为准。</w:t>
      </w:r>
      <w:r>
        <w:rPr>
          <w:rFonts w:hint="eastAsia" w:ascii="宋体" w:hAnsi="宋体"/>
          <w:snapToGrid w:val="0"/>
          <w:sz w:val="24"/>
          <w:lang w:val="zh-CN"/>
        </w:rPr>
        <w:t>付款前</w:t>
      </w:r>
      <w:r>
        <w:rPr>
          <w:rFonts w:hint="eastAsia" w:ascii="宋体" w:hAnsi="宋体"/>
          <w:snapToGrid w:val="0"/>
          <w:sz w:val="24"/>
          <w:lang w:eastAsia="zh-CN"/>
        </w:rPr>
        <w:t>承包人</w:t>
      </w:r>
      <w:r>
        <w:rPr>
          <w:rFonts w:hint="eastAsia" w:ascii="宋体" w:hAnsi="宋体"/>
          <w:snapToGrid w:val="0"/>
          <w:sz w:val="24"/>
          <w:lang w:val="zh-CN"/>
        </w:rPr>
        <w:t>应提交对应金额的增值税专用发票，</w:t>
      </w:r>
      <w:r>
        <w:rPr>
          <w:rFonts w:ascii="宋体" w:hAnsi="宋体"/>
          <w:snapToGrid w:val="0"/>
          <w:sz w:val="24"/>
        </w:rPr>
        <w:t>发票抬头为“深圳</w:t>
      </w:r>
      <w:r>
        <w:rPr>
          <w:rFonts w:hint="eastAsia" w:ascii="宋体" w:hAnsi="宋体"/>
          <w:snapToGrid w:val="0"/>
          <w:sz w:val="24"/>
          <w:lang w:eastAsia="zh-CN"/>
        </w:rPr>
        <w:t>北邮网络科技有限公司</w:t>
      </w:r>
      <w:r>
        <w:rPr>
          <w:rFonts w:ascii="宋体" w:hAnsi="宋体"/>
          <w:snapToGrid w:val="0"/>
          <w:sz w:val="24"/>
        </w:rPr>
        <w:t>”</w:t>
      </w:r>
      <w:r>
        <w:rPr>
          <w:rFonts w:hint="eastAsia" w:ascii="宋体" w:hAnsi="宋体"/>
          <w:snapToGrid w:val="0"/>
          <w:sz w:val="24"/>
        </w:rPr>
        <w:t xml:space="preserve">  </w:t>
      </w:r>
    </w:p>
    <w:p>
      <w:pPr>
        <w:snapToGrid w:val="0"/>
        <w:spacing w:line="520" w:lineRule="exact"/>
        <w:ind w:firstLine="480" w:firstLineChars="200"/>
        <w:jc w:val="left"/>
        <w:textAlignment w:val="bottom"/>
        <w:rPr>
          <w:rFonts w:ascii="宋体" w:hAnsi="宋体"/>
          <w:snapToGrid w:val="0"/>
          <w:sz w:val="24"/>
        </w:rPr>
      </w:pPr>
      <w:r>
        <w:rPr>
          <w:rFonts w:hint="eastAsia" w:ascii="宋体" w:hAnsi="宋体"/>
          <w:snapToGrid w:val="0"/>
          <w:sz w:val="24"/>
        </w:rPr>
        <w:t>6.2本合同全部监测工作完成，所提交的监测成果资料经</w:t>
      </w:r>
      <w:r>
        <w:rPr>
          <w:rFonts w:hint="eastAsia" w:ascii="宋体" w:hAnsi="宋体"/>
          <w:snapToGrid w:val="0"/>
          <w:sz w:val="24"/>
          <w:lang w:eastAsia="zh-CN"/>
        </w:rPr>
        <w:t>发包人</w:t>
      </w:r>
      <w:r>
        <w:rPr>
          <w:rFonts w:hint="eastAsia" w:ascii="宋体" w:hAnsi="宋体"/>
          <w:snapToGrid w:val="0"/>
          <w:sz w:val="24"/>
        </w:rPr>
        <w:t>全部验收通过后，结算审计完成后，</w:t>
      </w:r>
      <w:r>
        <w:rPr>
          <w:rFonts w:hint="eastAsia" w:ascii="宋体" w:hAnsi="宋体"/>
          <w:snapToGrid w:val="0"/>
          <w:sz w:val="24"/>
          <w:lang w:eastAsia="zh-CN"/>
        </w:rPr>
        <w:t>发包人</w:t>
      </w:r>
      <w:r>
        <w:rPr>
          <w:rFonts w:hint="eastAsia" w:ascii="宋体" w:hAnsi="宋体"/>
          <w:snapToGrid w:val="0"/>
          <w:sz w:val="24"/>
        </w:rPr>
        <w:t>收到</w:t>
      </w:r>
      <w:r>
        <w:rPr>
          <w:rFonts w:hint="eastAsia" w:ascii="宋体" w:hAnsi="宋体"/>
          <w:snapToGrid w:val="0"/>
          <w:sz w:val="24"/>
          <w:lang w:eastAsia="zh-CN"/>
        </w:rPr>
        <w:t>承包人</w:t>
      </w:r>
      <w:r>
        <w:rPr>
          <w:rFonts w:hint="eastAsia" w:ascii="宋体" w:hAnsi="宋体"/>
          <w:snapToGrid w:val="0"/>
          <w:sz w:val="24"/>
        </w:rPr>
        <w:t>支付申请并审核确认，</w:t>
      </w:r>
      <w:r>
        <w:rPr>
          <w:rFonts w:hint="eastAsia" w:ascii="宋体" w:hAnsi="宋体"/>
          <w:snapToGrid w:val="0"/>
          <w:sz w:val="24"/>
          <w:lang w:eastAsia="zh-CN"/>
        </w:rPr>
        <w:t>发包人</w:t>
      </w:r>
      <w:r>
        <w:rPr>
          <w:rFonts w:hint="eastAsia" w:ascii="宋体" w:hAnsi="宋体"/>
          <w:snapToGrid w:val="0"/>
          <w:sz w:val="24"/>
        </w:rPr>
        <w:t>向</w:t>
      </w:r>
      <w:r>
        <w:rPr>
          <w:rFonts w:hint="eastAsia" w:ascii="宋体" w:hAnsi="宋体"/>
          <w:snapToGrid w:val="0"/>
          <w:sz w:val="24"/>
          <w:lang w:eastAsia="zh-CN"/>
        </w:rPr>
        <w:t>承包人</w:t>
      </w:r>
      <w:r>
        <w:rPr>
          <w:rFonts w:hint="eastAsia" w:ascii="宋体" w:hAnsi="宋体"/>
          <w:snapToGrid w:val="0"/>
          <w:sz w:val="24"/>
        </w:rPr>
        <w:t>支付工程尾款，付款时间以</w:t>
      </w:r>
      <w:r>
        <w:rPr>
          <w:rFonts w:hint="eastAsia" w:ascii="宋体" w:hAnsi="宋体"/>
          <w:snapToGrid w:val="0"/>
          <w:sz w:val="24"/>
          <w:lang w:eastAsia="zh-CN"/>
        </w:rPr>
        <w:t>发包人</w:t>
      </w:r>
      <w:r>
        <w:rPr>
          <w:rFonts w:hint="eastAsia" w:ascii="宋体" w:hAnsi="宋体"/>
          <w:snapToGrid w:val="0"/>
          <w:sz w:val="24"/>
        </w:rPr>
        <w:t>实际支付为准。</w:t>
      </w:r>
    </w:p>
    <w:p>
      <w:pPr>
        <w:snapToGrid w:val="0"/>
        <w:spacing w:line="520" w:lineRule="exact"/>
        <w:ind w:firstLine="480" w:firstLineChars="200"/>
        <w:jc w:val="left"/>
        <w:textAlignment w:val="bottom"/>
        <w:rPr>
          <w:rFonts w:ascii="宋体" w:hAnsi="宋体"/>
          <w:snapToGrid w:val="0"/>
          <w:sz w:val="24"/>
        </w:rPr>
      </w:pPr>
      <w:r>
        <w:rPr>
          <w:rFonts w:hint="eastAsia" w:ascii="宋体" w:hAnsi="宋体"/>
          <w:snapToGrid w:val="0"/>
          <w:sz w:val="24"/>
        </w:rPr>
        <w:t>说明：</w:t>
      </w:r>
    </w:p>
    <w:p>
      <w:pPr>
        <w:spacing w:beforeLines="30" w:line="440" w:lineRule="exact"/>
        <w:ind w:firstLine="480" w:firstLineChars="200"/>
        <w:jc w:val="left"/>
        <w:rPr>
          <w:rFonts w:ascii="宋体" w:hAnsi="宋体"/>
          <w:snapToGrid w:val="0"/>
          <w:sz w:val="24"/>
        </w:rPr>
      </w:pPr>
      <w:r>
        <w:rPr>
          <w:rFonts w:hint="eastAsia" w:ascii="宋体" w:hAnsi="宋体"/>
          <w:snapToGrid w:val="0"/>
          <w:sz w:val="24"/>
        </w:rPr>
        <w:t>（a）合同价的90%作为基本费用，合同价的的10%作为绩效费用。实际绩效费用需根据履约评价结果及履约处罚情况确定。</w:t>
      </w:r>
    </w:p>
    <w:p>
      <w:pPr>
        <w:snapToGrid w:val="0"/>
        <w:spacing w:line="520" w:lineRule="exact"/>
        <w:ind w:firstLine="480" w:firstLineChars="200"/>
        <w:jc w:val="left"/>
        <w:textAlignment w:val="bottom"/>
        <w:rPr>
          <w:rFonts w:ascii="宋体" w:hAnsi="宋体"/>
          <w:snapToGrid w:val="0"/>
          <w:sz w:val="24"/>
        </w:rPr>
      </w:pPr>
      <w:r>
        <w:rPr>
          <w:rFonts w:hint="eastAsia" w:ascii="宋体" w:hAnsi="宋体"/>
          <w:snapToGrid w:val="0"/>
          <w:sz w:val="24"/>
          <w:lang w:eastAsia="zh-CN"/>
        </w:rPr>
        <w:t>承包人</w:t>
      </w:r>
      <w:r>
        <w:rPr>
          <w:rFonts w:hint="eastAsia" w:ascii="宋体" w:hAnsi="宋体"/>
          <w:snapToGrid w:val="0"/>
          <w:sz w:val="24"/>
        </w:rPr>
        <w:t>应无条件配合</w:t>
      </w:r>
      <w:r>
        <w:rPr>
          <w:rFonts w:hint="eastAsia" w:ascii="宋体" w:hAnsi="宋体"/>
          <w:snapToGrid w:val="0"/>
          <w:sz w:val="24"/>
          <w:lang w:eastAsia="zh-CN"/>
        </w:rPr>
        <w:t>发包人</w:t>
      </w:r>
      <w:r>
        <w:rPr>
          <w:rFonts w:hint="eastAsia" w:ascii="宋体" w:hAnsi="宋体"/>
          <w:snapToGrid w:val="0"/>
          <w:sz w:val="24"/>
        </w:rPr>
        <w:t>的管理要求及绩效考核（履约评价）需要，并无条件接受建设主管部门及</w:t>
      </w:r>
      <w:r>
        <w:rPr>
          <w:rFonts w:hint="eastAsia" w:ascii="宋体" w:hAnsi="宋体"/>
          <w:snapToGrid w:val="0"/>
          <w:sz w:val="24"/>
          <w:lang w:eastAsia="zh-CN"/>
        </w:rPr>
        <w:t>发包人</w:t>
      </w:r>
      <w:r>
        <w:rPr>
          <w:rFonts w:hint="eastAsia" w:ascii="宋体" w:hAnsi="宋体"/>
          <w:snapToGrid w:val="0"/>
          <w:sz w:val="24"/>
        </w:rPr>
        <w:t>的绩效考核评价（履约评价）结果及满足</w:t>
      </w:r>
      <w:r>
        <w:rPr>
          <w:rFonts w:hint="eastAsia" w:ascii="宋体" w:hAnsi="宋体"/>
          <w:snapToGrid w:val="0"/>
          <w:sz w:val="24"/>
          <w:lang w:eastAsia="zh-CN"/>
        </w:rPr>
        <w:t>发包人</w:t>
      </w:r>
      <w:r>
        <w:rPr>
          <w:rFonts w:hint="eastAsia" w:ascii="宋体" w:hAnsi="宋体"/>
          <w:snapToGrid w:val="0"/>
          <w:sz w:val="24"/>
        </w:rPr>
        <w:t>的管理要求，否则视为</w:t>
      </w:r>
      <w:r>
        <w:rPr>
          <w:rFonts w:hint="eastAsia" w:ascii="宋体" w:hAnsi="宋体"/>
          <w:snapToGrid w:val="0"/>
          <w:sz w:val="24"/>
          <w:lang w:eastAsia="zh-CN"/>
        </w:rPr>
        <w:t>承包人</w:t>
      </w:r>
      <w:r>
        <w:rPr>
          <w:rFonts w:hint="eastAsia" w:ascii="宋体" w:hAnsi="宋体"/>
          <w:snapToGrid w:val="0"/>
          <w:sz w:val="24"/>
        </w:rPr>
        <w:t>违约。</w:t>
      </w:r>
    </w:p>
    <w:p>
      <w:pPr>
        <w:snapToGrid w:val="0"/>
        <w:spacing w:line="520" w:lineRule="exact"/>
        <w:ind w:firstLine="480" w:firstLineChars="200"/>
        <w:jc w:val="left"/>
        <w:textAlignment w:val="bottom"/>
        <w:rPr>
          <w:rFonts w:ascii="宋体" w:hAnsi="宋体"/>
          <w:snapToGrid w:val="0"/>
          <w:sz w:val="24"/>
        </w:rPr>
      </w:pPr>
      <w:r>
        <w:rPr>
          <w:rFonts w:hint="eastAsia" w:ascii="宋体" w:hAnsi="宋体"/>
          <w:snapToGrid w:val="0"/>
          <w:sz w:val="24"/>
        </w:rPr>
        <w:t>（b）上表中</w:t>
      </w:r>
      <w:r>
        <w:rPr>
          <w:rFonts w:hint="eastAsia" w:ascii="宋体" w:hAnsi="宋体"/>
          <w:snapToGrid w:val="0"/>
          <w:sz w:val="24"/>
          <w:lang w:eastAsia="zh-CN"/>
        </w:rPr>
        <w:t>承包人</w:t>
      </w:r>
      <w:r>
        <w:rPr>
          <w:rFonts w:hint="eastAsia" w:ascii="宋体" w:hAnsi="宋体"/>
          <w:snapToGrid w:val="0"/>
          <w:sz w:val="24"/>
        </w:rPr>
        <w:t>被扣减的违约金，在结算时不再补发。</w:t>
      </w:r>
    </w:p>
    <w:p>
      <w:pPr>
        <w:snapToGrid w:val="0"/>
        <w:spacing w:line="520" w:lineRule="exact"/>
        <w:ind w:firstLine="480" w:firstLineChars="200"/>
        <w:jc w:val="left"/>
        <w:textAlignment w:val="bottom"/>
        <w:rPr>
          <w:rFonts w:ascii="宋体" w:hAnsi="宋体"/>
          <w:snapToGrid w:val="0"/>
          <w:sz w:val="24"/>
        </w:rPr>
      </w:pPr>
      <w:r>
        <w:rPr>
          <w:rFonts w:hint="eastAsia" w:ascii="宋体" w:hAnsi="宋体"/>
          <w:snapToGrid w:val="0"/>
          <w:sz w:val="24"/>
        </w:rPr>
        <w:t>（c）</w:t>
      </w:r>
      <w:r>
        <w:rPr>
          <w:rFonts w:hint="eastAsia" w:ascii="宋体" w:hAnsi="宋体"/>
          <w:snapToGrid w:val="0"/>
          <w:sz w:val="24"/>
          <w:lang w:eastAsia="zh-CN"/>
        </w:rPr>
        <w:t>承包人</w:t>
      </w:r>
      <w:r>
        <w:rPr>
          <w:rFonts w:hint="eastAsia" w:ascii="宋体" w:hAnsi="宋体"/>
          <w:snapToGrid w:val="0"/>
          <w:sz w:val="24"/>
        </w:rPr>
        <w:t>须承担工程投资规模变化、设计条件变更、规划调整等原因而导致服务内容调整的风险。</w:t>
      </w:r>
      <w:r>
        <w:rPr>
          <w:rFonts w:hint="eastAsia" w:ascii="宋体" w:hAnsi="宋体"/>
          <w:snapToGrid w:val="0"/>
          <w:sz w:val="24"/>
          <w:lang w:eastAsia="zh-CN"/>
        </w:rPr>
        <w:t>承包人</w:t>
      </w:r>
      <w:r>
        <w:rPr>
          <w:rFonts w:hint="eastAsia" w:ascii="宋体" w:hAnsi="宋体"/>
          <w:snapToGrid w:val="0"/>
          <w:sz w:val="24"/>
        </w:rPr>
        <w:t>不能因此向</w:t>
      </w:r>
      <w:r>
        <w:rPr>
          <w:rFonts w:hint="eastAsia" w:ascii="宋体" w:hAnsi="宋体"/>
          <w:snapToGrid w:val="0"/>
          <w:sz w:val="24"/>
          <w:lang w:eastAsia="zh-CN"/>
        </w:rPr>
        <w:t>发包人</w:t>
      </w:r>
      <w:r>
        <w:rPr>
          <w:rFonts w:hint="eastAsia" w:ascii="宋体" w:hAnsi="宋体"/>
          <w:snapToGrid w:val="0"/>
          <w:sz w:val="24"/>
        </w:rPr>
        <w:t>提出相关索赔要求。</w:t>
      </w:r>
    </w:p>
    <w:p>
      <w:pPr>
        <w:snapToGrid w:val="0"/>
        <w:spacing w:line="520" w:lineRule="exact"/>
        <w:ind w:firstLine="480" w:firstLineChars="200"/>
        <w:jc w:val="left"/>
        <w:textAlignment w:val="bottom"/>
        <w:rPr>
          <w:rFonts w:ascii="宋体" w:hAnsi="宋体"/>
          <w:snapToGrid w:val="0"/>
          <w:sz w:val="24"/>
        </w:rPr>
      </w:pPr>
      <w:r>
        <w:rPr>
          <w:rFonts w:hint="eastAsia" w:ascii="宋体" w:hAnsi="宋体"/>
          <w:snapToGrid w:val="0"/>
          <w:sz w:val="24"/>
        </w:rPr>
        <w:t>6.3若</w:t>
      </w:r>
      <w:r>
        <w:rPr>
          <w:rFonts w:hint="eastAsia" w:ascii="宋体" w:hAnsi="宋体"/>
          <w:snapToGrid w:val="0"/>
          <w:sz w:val="24"/>
          <w:lang w:eastAsia="zh-CN"/>
        </w:rPr>
        <w:t>承包人</w:t>
      </w:r>
      <w:r>
        <w:rPr>
          <w:rFonts w:hint="eastAsia" w:ascii="宋体" w:hAnsi="宋体"/>
          <w:snapToGrid w:val="0"/>
          <w:sz w:val="24"/>
        </w:rPr>
        <w:t>有违反本合同约定相关责任的，</w:t>
      </w:r>
      <w:r>
        <w:rPr>
          <w:rFonts w:hint="eastAsia" w:ascii="宋体" w:hAnsi="宋体"/>
          <w:snapToGrid w:val="0"/>
          <w:sz w:val="24"/>
          <w:lang w:eastAsia="zh-CN"/>
        </w:rPr>
        <w:t>承包人</w:t>
      </w:r>
      <w:r>
        <w:rPr>
          <w:rFonts w:hint="eastAsia" w:ascii="宋体" w:hAnsi="宋体"/>
          <w:snapToGrid w:val="0"/>
          <w:sz w:val="24"/>
        </w:rPr>
        <w:t>在申请支付当期款项前，应书面确认扣减违约金后，</w:t>
      </w:r>
      <w:r>
        <w:rPr>
          <w:rFonts w:hint="eastAsia" w:ascii="宋体" w:hAnsi="宋体"/>
          <w:snapToGrid w:val="0"/>
          <w:sz w:val="24"/>
          <w:lang w:eastAsia="zh-CN"/>
        </w:rPr>
        <w:t>发包人</w:t>
      </w:r>
      <w:r>
        <w:rPr>
          <w:rFonts w:hint="eastAsia" w:ascii="宋体" w:hAnsi="宋体"/>
          <w:snapToGrid w:val="0"/>
          <w:sz w:val="24"/>
        </w:rPr>
        <w:t>予以确认</w:t>
      </w:r>
      <w:r>
        <w:rPr>
          <w:rFonts w:hint="eastAsia" w:ascii="宋体" w:hAnsi="宋体"/>
          <w:bCs/>
          <w:sz w:val="24"/>
          <w:szCs w:val="24"/>
        </w:rPr>
        <w:t>，由政府相关部门</w:t>
      </w:r>
      <w:r>
        <w:rPr>
          <w:rFonts w:hint="eastAsia" w:ascii="宋体" w:hAnsi="宋体"/>
          <w:snapToGrid w:val="0"/>
          <w:sz w:val="24"/>
        </w:rPr>
        <w:t>办理支付手续，违约金从当期款项中直接扣减。违约金是指</w:t>
      </w:r>
      <w:r>
        <w:rPr>
          <w:rFonts w:hint="eastAsia" w:ascii="宋体" w:hAnsi="宋体"/>
          <w:snapToGrid w:val="0"/>
          <w:sz w:val="24"/>
          <w:lang w:eastAsia="zh-CN"/>
        </w:rPr>
        <w:t>承包人</w:t>
      </w:r>
      <w:r>
        <w:rPr>
          <w:rFonts w:hint="eastAsia" w:ascii="宋体" w:hAnsi="宋体"/>
          <w:snapToGrid w:val="0"/>
          <w:sz w:val="24"/>
        </w:rPr>
        <w:t>违反本合同相关要求及约定所需支付的违约罚金。</w:t>
      </w:r>
    </w:p>
    <w:p>
      <w:pPr>
        <w:spacing w:beforeLines="30" w:line="440" w:lineRule="exact"/>
        <w:ind w:firstLine="480" w:firstLineChars="200"/>
        <w:jc w:val="left"/>
        <w:rPr>
          <w:rFonts w:ascii="宋体" w:hAnsi="宋体"/>
          <w:sz w:val="24"/>
          <w:szCs w:val="24"/>
        </w:rPr>
      </w:pPr>
      <w:r>
        <w:rPr>
          <w:rFonts w:hint="eastAsia" w:ascii="宋体" w:hAnsi="宋体"/>
          <w:sz w:val="24"/>
          <w:szCs w:val="24"/>
        </w:rPr>
        <w:t xml:space="preserve">第七条  </w:t>
      </w:r>
      <w:r>
        <w:rPr>
          <w:rFonts w:hint="eastAsia" w:ascii="宋体" w:hAnsi="宋体"/>
          <w:sz w:val="24"/>
          <w:szCs w:val="24"/>
          <w:lang w:eastAsia="zh-CN"/>
        </w:rPr>
        <w:t>发包人</w:t>
      </w:r>
      <w:r>
        <w:rPr>
          <w:rFonts w:hint="eastAsia" w:ascii="宋体" w:hAnsi="宋体"/>
          <w:sz w:val="24"/>
          <w:szCs w:val="24"/>
        </w:rPr>
        <w:t>、</w:t>
      </w:r>
      <w:r>
        <w:rPr>
          <w:rFonts w:hint="eastAsia" w:ascii="宋体" w:hAnsi="宋体"/>
          <w:sz w:val="24"/>
          <w:szCs w:val="24"/>
          <w:lang w:eastAsia="zh-CN"/>
        </w:rPr>
        <w:t>承包人</w:t>
      </w:r>
      <w:r>
        <w:rPr>
          <w:rFonts w:hint="eastAsia" w:ascii="宋体" w:hAnsi="宋体"/>
          <w:sz w:val="24"/>
          <w:szCs w:val="24"/>
        </w:rPr>
        <w:t>的义务和权力</w:t>
      </w:r>
    </w:p>
    <w:p>
      <w:pPr>
        <w:spacing w:beforeLines="30" w:line="440" w:lineRule="exact"/>
        <w:ind w:firstLine="480" w:firstLineChars="200"/>
        <w:jc w:val="left"/>
        <w:rPr>
          <w:rFonts w:ascii="宋体" w:hAnsi="宋体"/>
          <w:sz w:val="24"/>
          <w:szCs w:val="24"/>
        </w:rPr>
      </w:pPr>
      <w:r>
        <w:rPr>
          <w:rFonts w:hint="eastAsia" w:ascii="宋体" w:hAnsi="宋体"/>
          <w:sz w:val="24"/>
          <w:szCs w:val="24"/>
        </w:rPr>
        <w:t>7.1</w:t>
      </w:r>
      <w:r>
        <w:rPr>
          <w:rFonts w:hint="eastAsia" w:ascii="宋体" w:hAnsi="宋体"/>
          <w:sz w:val="24"/>
          <w:szCs w:val="24"/>
          <w:lang w:eastAsia="zh-CN"/>
        </w:rPr>
        <w:t>发包人</w:t>
      </w:r>
      <w:r>
        <w:rPr>
          <w:rFonts w:hint="eastAsia" w:ascii="宋体" w:hAnsi="宋体"/>
          <w:sz w:val="24"/>
          <w:szCs w:val="24"/>
        </w:rPr>
        <w:t>的义务和权力</w:t>
      </w:r>
    </w:p>
    <w:p>
      <w:pPr>
        <w:spacing w:beforeLines="30" w:line="440" w:lineRule="exact"/>
        <w:ind w:firstLine="480" w:firstLineChars="200"/>
        <w:jc w:val="left"/>
        <w:rPr>
          <w:rFonts w:ascii="宋体" w:hAnsi="宋体"/>
          <w:sz w:val="24"/>
          <w:szCs w:val="24"/>
        </w:rPr>
      </w:pPr>
      <w:r>
        <w:rPr>
          <w:rFonts w:hint="eastAsia" w:ascii="宋体" w:hAnsi="宋体"/>
          <w:sz w:val="24"/>
          <w:szCs w:val="24"/>
        </w:rPr>
        <w:t>7.1.1</w:t>
      </w:r>
      <w:r>
        <w:rPr>
          <w:rFonts w:hint="eastAsia" w:ascii="宋体" w:hAnsi="宋体"/>
          <w:sz w:val="24"/>
          <w:szCs w:val="24"/>
          <w:lang w:eastAsia="zh-CN"/>
        </w:rPr>
        <w:t>发包人</w:t>
      </w:r>
      <w:r>
        <w:rPr>
          <w:rFonts w:hint="eastAsia" w:ascii="宋体" w:hAnsi="宋体"/>
          <w:sz w:val="24"/>
          <w:szCs w:val="24"/>
        </w:rPr>
        <w:t>向</w:t>
      </w:r>
      <w:r>
        <w:rPr>
          <w:rFonts w:hint="eastAsia" w:ascii="宋体" w:hAnsi="宋体"/>
          <w:sz w:val="24"/>
          <w:szCs w:val="24"/>
          <w:lang w:eastAsia="zh-CN"/>
        </w:rPr>
        <w:t>承包人</w:t>
      </w:r>
      <w:r>
        <w:rPr>
          <w:rFonts w:hint="eastAsia" w:ascii="宋体" w:hAnsi="宋体"/>
          <w:sz w:val="24"/>
          <w:szCs w:val="24"/>
        </w:rPr>
        <w:t>明确监测任务及技术要求，提供有关资料。</w:t>
      </w:r>
    </w:p>
    <w:p>
      <w:pPr>
        <w:spacing w:beforeLines="30" w:line="440" w:lineRule="exact"/>
        <w:ind w:firstLine="480" w:firstLineChars="200"/>
        <w:jc w:val="left"/>
        <w:rPr>
          <w:rFonts w:ascii="宋体" w:hAnsi="宋体"/>
          <w:sz w:val="24"/>
          <w:szCs w:val="24"/>
        </w:rPr>
      </w:pPr>
      <w:r>
        <w:rPr>
          <w:rFonts w:hint="eastAsia" w:ascii="宋体" w:hAnsi="宋体"/>
          <w:sz w:val="24"/>
          <w:szCs w:val="24"/>
        </w:rPr>
        <w:t>7.1.2</w:t>
      </w:r>
      <w:r>
        <w:rPr>
          <w:rFonts w:hint="eastAsia" w:ascii="宋体" w:hAnsi="宋体"/>
          <w:sz w:val="24"/>
          <w:szCs w:val="24"/>
          <w:lang w:eastAsia="zh-CN"/>
        </w:rPr>
        <w:t>发包人</w:t>
      </w:r>
      <w:r>
        <w:rPr>
          <w:rFonts w:hint="eastAsia" w:ascii="宋体" w:hAnsi="宋体"/>
          <w:sz w:val="24"/>
          <w:szCs w:val="24"/>
        </w:rPr>
        <w:t>应保护</w:t>
      </w:r>
      <w:r>
        <w:rPr>
          <w:rFonts w:hint="eastAsia" w:ascii="宋体" w:hAnsi="宋体"/>
          <w:sz w:val="24"/>
          <w:szCs w:val="24"/>
          <w:lang w:eastAsia="zh-CN"/>
        </w:rPr>
        <w:t>承包人</w:t>
      </w:r>
      <w:r>
        <w:rPr>
          <w:rFonts w:hint="eastAsia" w:ascii="宋体" w:hAnsi="宋体"/>
          <w:sz w:val="24"/>
          <w:szCs w:val="24"/>
        </w:rPr>
        <w:t>监测方案、报告书、文件、资料图纸、数据特殊工艺（方法）、专利技术和合理化建议，未经</w:t>
      </w:r>
      <w:r>
        <w:rPr>
          <w:rFonts w:hint="eastAsia" w:ascii="宋体" w:hAnsi="宋体"/>
          <w:sz w:val="24"/>
          <w:szCs w:val="24"/>
          <w:lang w:eastAsia="zh-CN"/>
        </w:rPr>
        <w:t>承包人</w:t>
      </w:r>
      <w:r>
        <w:rPr>
          <w:rFonts w:hint="eastAsia" w:ascii="宋体" w:hAnsi="宋体"/>
          <w:sz w:val="24"/>
          <w:szCs w:val="24"/>
        </w:rPr>
        <w:t>同意，</w:t>
      </w:r>
      <w:r>
        <w:rPr>
          <w:rFonts w:hint="eastAsia" w:ascii="宋体" w:hAnsi="宋体"/>
          <w:sz w:val="24"/>
          <w:szCs w:val="24"/>
          <w:lang w:eastAsia="zh-CN"/>
        </w:rPr>
        <w:t>发包人</w:t>
      </w:r>
      <w:r>
        <w:rPr>
          <w:rFonts w:hint="eastAsia" w:ascii="宋体" w:hAnsi="宋体"/>
          <w:sz w:val="24"/>
          <w:szCs w:val="24"/>
        </w:rPr>
        <w:t>不得泄露、擅自修改、向第三人转让或用于本合同外的项目。</w:t>
      </w:r>
    </w:p>
    <w:p>
      <w:pPr>
        <w:spacing w:beforeLines="30" w:line="440" w:lineRule="exact"/>
        <w:ind w:firstLine="480" w:firstLineChars="200"/>
        <w:jc w:val="left"/>
        <w:rPr>
          <w:rFonts w:ascii="宋体" w:hAnsi="宋体"/>
          <w:sz w:val="24"/>
          <w:szCs w:val="24"/>
        </w:rPr>
      </w:pPr>
      <w:r>
        <w:rPr>
          <w:rFonts w:hint="eastAsia" w:ascii="宋体" w:hAnsi="宋体"/>
          <w:sz w:val="24"/>
          <w:szCs w:val="24"/>
        </w:rPr>
        <w:t>7.1.3</w:t>
      </w:r>
      <w:r>
        <w:rPr>
          <w:rFonts w:hint="eastAsia" w:ascii="宋体" w:hAnsi="宋体"/>
          <w:sz w:val="24"/>
          <w:szCs w:val="24"/>
          <w:lang w:eastAsia="zh-CN"/>
        </w:rPr>
        <w:t>发包人</w:t>
      </w:r>
      <w:r>
        <w:rPr>
          <w:rFonts w:hint="eastAsia" w:ascii="宋体" w:hAnsi="宋体"/>
          <w:sz w:val="24"/>
          <w:szCs w:val="24"/>
        </w:rPr>
        <w:t>督促施工方配合</w:t>
      </w:r>
      <w:r>
        <w:rPr>
          <w:rFonts w:hint="eastAsia" w:ascii="宋体" w:hAnsi="宋体"/>
          <w:sz w:val="24"/>
          <w:szCs w:val="24"/>
          <w:lang w:eastAsia="zh-CN"/>
        </w:rPr>
        <w:t>承包人</w:t>
      </w:r>
      <w:r>
        <w:rPr>
          <w:rFonts w:hint="eastAsia" w:ascii="宋体" w:hAnsi="宋体"/>
          <w:sz w:val="24"/>
          <w:szCs w:val="24"/>
        </w:rPr>
        <w:t>的监测工作。</w:t>
      </w:r>
    </w:p>
    <w:p>
      <w:pPr>
        <w:spacing w:beforeLines="30" w:line="440" w:lineRule="exact"/>
        <w:ind w:firstLine="480" w:firstLineChars="200"/>
        <w:jc w:val="left"/>
        <w:rPr>
          <w:rFonts w:ascii="宋体" w:hAnsi="宋体"/>
          <w:sz w:val="24"/>
          <w:szCs w:val="24"/>
        </w:rPr>
      </w:pPr>
      <w:r>
        <w:rPr>
          <w:rFonts w:hint="eastAsia" w:ascii="宋体" w:hAnsi="宋体"/>
          <w:sz w:val="24"/>
          <w:szCs w:val="24"/>
        </w:rPr>
        <w:t>7.1.4</w:t>
      </w:r>
      <w:r>
        <w:rPr>
          <w:rFonts w:hint="eastAsia" w:ascii="宋体" w:hAnsi="宋体"/>
          <w:sz w:val="24"/>
          <w:szCs w:val="24"/>
          <w:lang w:eastAsia="zh-CN"/>
        </w:rPr>
        <w:t>发包人</w:t>
      </w:r>
      <w:r>
        <w:rPr>
          <w:rFonts w:hint="eastAsia" w:ascii="宋体" w:hAnsi="宋体"/>
          <w:sz w:val="24"/>
          <w:szCs w:val="24"/>
        </w:rPr>
        <w:t>对</w:t>
      </w:r>
      <w:r>
        <w:rPr>
          <w:rFonts w:hint="eastAsia" w:ascii="宋体" w:hAnsi="宋体"/>
          <w:sz w:val="24"/>
          <w:szCs w:val="24"/>
          <w:lang w:eastAsia="zh-CN"/>
        </w:rPr>
        <w:t>承包人</w:t>
      </w:r>
      <w:r>
        <w:rPr>
          <w:rFonts w:hint="eastAsia" w:ascii="宋体" w:hAnsi="宋体"/>
          <w:sz w:val="24"/>
          <w:szCs w:val="24"/>
        </w:rPr>
        <w:t>的工期、质量、人员、设备、仪器进行监督检查，对不符合技术要求的工作，有权要求</w:t>
      </w:r>
      <w:r>
        <w:rPr>
          <w:rFonts w:hint="eastAsia" w:ascii="宋体" w:hAnsi="宋体"/>
          <w:sz w:val="24"/>
          <w:szCs w:val="24"/>
          <w:lang w:eastAsia="zh-CN"/>
        </w:rPr>
        <w:t>承包人</w:t>
      </w:r>
      <w:r>
        <w:rPr>
          <w:rFonts w:hint="eastAsia" w:ascii="宋体" w:hAnsi="宋体"/>
          <w:sz w:val="24"/>
          <w:szCs w:val="24"/>
        </w:rPr>
        <w:t>自费进行返工。</w:t>
      </w:r>
    </w:p>
    <w:p>
      <w:pPr>
        <w:spacing w:beforeLines="30" w:line="440" w:lineRule="exact"/>
        <w:ind w:firstLine="480" w:firstLineChars="200"/>
        <w:jc w:val="left"/>
        <w:rPr>
          <w:rFonts w:ascii="宋体" w:hAnsi="宋体"/>
          <w:sz w:val="24"/>
          <w:szCs w:val="24"/>
        </w:rPr>
      </w:pPr>
      <w:r>
        <w:rPr>
          <w:rFonts w:hint="eastAsia" w:ascii="宋体" w:hAnsi="宋体"/>
          <w:sz w:val="24"/>
          <w:szCs w:val="24"/>
        </w:rPr>
        <w:t>7.1.5</w:t>
      </w:r>
      <w:r>
        <w:rPr>
          <w:rFonts w:hint="eastAsia" w:ascii="宋体" w:hAnsi="宋体"/>
          <w:sz w:val="24"/>
          <w:szCs w:val="24"/>
          <w:lang w:eastAsia="zh-CN"/>
        </w:rPr>
        <w:t>发包人</w:t>
      </w:r>
      <w:r>
        <w:rPr>
          <w:rFonts w:hint="eastAsia" w:ascii="宋体" w:hAnsi="宋体"/>
          <w:sz w:val="24"/>
          <w:szCs w:val="24"/>
        </w:rPr>
        <w:t>有权根据设计、施工的需要调整工作内容和工作计划，</w:t>
      </w:r>
      <w:r>
        <w:rPr>
          <w:rFonts w:hint="eastAsia" w:ascii="宋体" w:hAnsi="宋体"/>
          <w:sz w:val="24"/>
          <w:szCs w:val="24"/>
          <w:lang w:eastAsia="zh-CN"/>
        </w:rPr>
        <w:t>承包人</w:t>
      </w:r>
      <w:r>
        <w:rPr>
          <w:rFonts w:hint="eastAsia" w:ascii="宋体" w:hAnsi="宋体"/>
          <w:sz w:val="24"/>
          <w:szCs w:val="24"/>
        </w:rPr>
        <w:t>不得对此有异议，因此而发生的费用按合同规定确定。</w:t>
      </w:r>
    </w:p>
    <w:p>
      <w:pPr>
        <w:spacing w:beforeLines="30" w:line="440" w:lineRule="exact"/>
        <w:ind w:firstLine="480" w:firstLineChars="200"/>
        <w:jc w:val="left"/>
        <w:rPr>
          <w:rFonts w:ascii="宋体" w:hAnsi="宋体"/>
          <w:sz w:val="24"/>
          <w:szCs w:val="24"/>
        </w:rPr>
      </w:pPr>
      <w:r>
        <w:rPr>
          <w:rFonts w:hint="eastAsia" w:ascii="宋体" w:hAnsi="宋体"/>
          <w:sz w:val="24"/>
          <w:szCs w:val="24"/>
        </w:rPr>
        <w:t>7.1.6</w:t>
      </w:r>
      <w:r>
        <w:rPr>
          <w:rFonts w:hint="eastAsia" w:ascii="宋体" w:hAnsi="宋体"/>
          <w:sz w:val="24"/>
          <w:szCs w:val="24"/>
          <w:lang w:eastAsia="zh-CN"/>
        </w:rPr>
        <w:t>发包人</w:t>
      </w:r>
      <w:r>
        <w:rPr>
          <w:rFonts w:hint="eastAsia" w:ascii="宋体" w:hAnsi="宋体"/>
          <w:sz w:val="24"/>
          <w:szCs w:val="24"/>
        </w:rPr>
        <w:t>有权要求</w:t>
      </w:r>
      <w:r>
        <w:rPr>
          <w:rFonts w:hint="eastAsia" w:ascii="宋体" w:hAnsi="宋体"/>
          <w:sz w:val="24"/>
          <w:szCs w:val="24"/>
          <w:lang w:eastAsia="zh-CN"/>
        </w:rPr>
        <w:t>承包人</w:t>
      </w:r>
      <w:r>
        <w:rPr>
          <w:rFonts w:hint="eastAsia" w:ascii="宋体" w:hAnsi="宋体"/>
          <w:sz w:val="24"/>
          <w:szCs w:val="24"/>
        </w:rPr>
        <w:t>服从</w:t>
      </w:r>
      <w:r>
        <w:rPr>
          <w:rFonts w:hint="eastAsia" w:ascii="宋体" w:hAnsi="宋体"/>
          <w:sz w:val="24"/>
          <w:szCs w:val="24"/>
          <w:lang w:eastAsia="zh-CN"/>
        </w:rPr>
        <w:t>发包人</w:t>
      </w:r>
      <w:r>
        <w:rPr>
          <w:rFonts w:hint="eastAsia" w:ascii="宋体" w:hAnsi="宋体"/>
          <w:sz w:val="24"/>
          <w:szCs w:val="24"/>
        </w:rPr>
        <w:t>总体的工期计划要求,并为此配备足够的人员。</w:t>
      </w:r>
    </w:p>
    <w:p>
      <w:pPr>
        <w:spacing w:beforeLines="30" w:line="440" w:lineRule="exact"/>
        <w:ind w:firstLine="480" w:firstLineChars="200"/>
        <w:jc w:val="left"/>
        <w:rPr>
          <w:rFonts w:ascii="宋体" w:hAnsi="宋体"/>
          <w:sz w:val="24"/>
          <w:szCs w:val="24"/>
        </w:rPr>
      </w:pPr>
      <w:r>
        <w:rPr>
          <w:rFonts w:hint="eastAsia" w:ascii="宋体" w:hAnsi="宋体"/>
          <w:sz w:val="24"/>
          <w:szCs w:val="24"/>
        </w:rPr>
        <w:t>7.1.7</w:t>
      </w:r>
      <w:r>
        <w:rPr>
          <w:rFonts w:hint="eastAsia" w:ascii="宋体" w:hAnsi="宋体"/>
          <w:sz w:val="24"/>
          <w:szCs w:val="24"/>
          <w:lang w:eastAsia="zh-CN"/>
        </w:rPr>
        <w:t>发包人</w:t>
      </w:r>
      <w:r>
        <w:rPr>
          <w:rFonts w:hint="eastAsia" w:ascii="宋体" w:hAnsi="宋体"/>
          <w:sz w:val="24"/>
          <w:szCs w:val="24"/>
        </w:rPr>
        <w:t>有权对</w:t>
      </w:r>
      <w:r>
        <w:rPr>
          <w:rFonts w:hint="eastAsia" w:ascii="宋体" w:hAnsi="宋体"/>
          <w:sz w:val="24"/>
          <w:szCs w:val="24"/>
          <w:lang w:eastAsia="zh-CN"/>
        </w:rPr>
        <w:t>承包人</w:t>
      </w:r>
      <w:r>
        <w:rPr>
          <w:rFonts w:hint="eastAsia" w:ascii="宋体" w:hAnsi="宋体"/>
          <w:sz w:val="24"/>
          <w:szCs w:val="24"/>
        </w:rPr>
        <w:t>的项目负责人、技术负责人和主要技术人员进行业务能力和工作质量考核，若经业主考核不合格，有权对</w:t>
      </w:r>
      <w:r>
        <w:rPr>
          <w:rFonts w:hint="eastAsia" w:ascii="宋体" w:hAnsi="宋体"/>
          <w:sz w:val="24"/>
          <w:szCs w:val="24"/>
          <w:lang w:eastAsia="zh-CN"/>
        </w:rPr>
        <w:t>承包人</w:t>
      </w:r>
      <w:r>
        <w:rPr>
          <w:rFonts w:hint="eastAsia" w:ascii="宋体" w:hAnsi="宋体"/>
          <w:sz w:val="24"/>
          <w:szCs w:val="24"/>
        </w:rPr>
        <w:t>采取严厉的处罚措施责令其限期更换不称职或严重失职的监测及测量人员。如</w:t>
      </w:r>
      <w:r>
        <w:rPr>
          <w:rFonts w:hint="eastAsia" w:ascii="宋体" w:hAnsi="宋体"/>
          <w:sz w:val="24"/>
          <w:szCs w:val="24"/>
          <w:lang w:eastAsia="zh-CN"/>
        </w:rPr>
        <w:t>承包人</w:t>
      </w:r>
      <w:r>
        <w:rPr>
          <w:rFonts w:hint="eastAsia" w:ascii="宋体" w:hAnsi="宋体"/>
          <w:sz w:val="24"/>
          <w:szCs w:val="24"/>
        </w:rPr>
        <w:t>需更换管理人员，应征得</w:t>
      </w:r>
      <w:r>
        <w:rPr>
          <w:rFonts w:hint="eastAsia" w:ascii="宋体" w:hAnsi="宋体"/>
          <w:sz w:val="24"/>
          <w:szCs w:val="24"/>
          <w:lang w:eastAsia="zh-CN"/>
        </w:rPr>
        <w:t>发包人</w:t>
      </w:r>
      <w:r>
        <w:rPr>
          <w:rFonts w:hint="eastAsia" w:ascii="宋体" w:hAnsi="宋体"/>
          <w:sz w:val="24"/>
          <w:szCs w:val="24"/>
        </w:rPr>
        <w:t>同意。</w:t>
      </w:r>
    </w:p>
    <w:p>
      <w:pPr>
        <w:spacing w:beforeLines="30" w:line="440" w:lineRule="exact"/>
        <w:ind w:firstLine="480" w:firstLineChars="200"/>
        <w:jc w:val="left"/>
        <w:rPr>
          <w:rFonts w:ascii="宋体" w:hAnsi="宋体"/>
          <w:sz w:val="24"/>
          <w:szCs w:val="24"/>
        </w:rPr>
      </w:pPr>
      <w:r>
        <w:rPr>
          <w:rFonts w:hint="eastAsia" w:ascii="宋体" w:hAnsi="宋体"/>
          <w:sz w:val="24"/>
          <w:szCs w:val="24"/>
        </w:rPr>
        <w:t>7.1.8根据本合同规定按时付款。</w:t>
      </w:r>
    </w:p>
    <w:p>
      <w:pPr>
        <w:spacing w:beforeLines="30" w:line="440" w:lineRule="exact"/>
        <w:ind w:firstLine="480" w:firstLineChars="200"/>
        <w:jc w:val="left"/>
        <w:rPr>
          <w:rFonts w:ascii="宋体" w:hAnsi="宋体"/>
          <w:sz w:val="24"/>
          <w:szCs w:val="24"/>
        </w:rPr>
      </w:pPr>
      <w:r>
        <w:rPr>
          <w:rFonts w:hint="eastAsia" w:ascii="宋体" w:hAnsi="宋体"/>
          <w:sz w:val="24"/>
          <w:szCs w:val="24"/>
        </w:rPr>
        <w:t>7.1.9</w:t>
      </w:r>
      <w:r>
        <w:rPr>
          <w:rFonts w:hint="eastAsia" w:ascii="宋体" w:hAnsi="宋体"/>
          <w:sz w:val="24"/>
          <w:szCs w:val="24"/>
          <w:lang w:eastAsia="zh-CN"/>
        </w:rPr>
        <w:t>发包人</w:t>
      </w:r>
      <w:r>
        <w:rPr>
          <w:rFonts w:hint="eastAsia" w:ascii="宋体" w:hAnsi="宋体"/>
          <w:sz w:val="24"/>
          <w:szCs w:val="24"/>
        </w:rPr>
        <w:t>有权要求</w:t>
      </w:r>
      <w:r>
        <w:rPr>
          <w:rFonts w:hint="eastAsia" w:ascii="宋体" w:hAnsi="宋体"/>
          <w:sz w:val="24"/>
          <w:szCs w:val="24"/>
          <w:lang w:eastAsia="zh-CN"/>
        </w:rPr>
        <w:t>承包人</w:t>
      </w:r>
      <w:r>
        <w:rPr>
          <w:rFonts w:hint="eastAsia" w:ascii="宋体" w:hAnsi="宋体"/>
          <w:sz w:val="24"/>
          <w:szCs w:val="24"/>
        </w:rPr>
        <w:t>提交各阶段的工作报告及合同服务范围内的专项报告。</w:t>
      </w:r>
    </w:p>
    <w:p>
      <w:pPr>
        <w:spacing w:beforeLines="30" w:line="440" w:lineRule="exact"/>
        <w:ind w:firstLine="480" w:firstLineChars="200"/>
        <w:jc w:val="left"/>
        <w:rPr>
          <w:rFonts w:ascii="宋体" w:hAnsi="宋体"/>
          <w:sz w:val="24"/>
          <w:szCs w:val="24"/>
        </w:rPr>
      </w:pPr>
      <w:r>
        <w:rPr>
          <w:rFonts w:hint="eastAsia" w:ascii="宋体" w:hAnsi="宋体"/>
          <w:sz w:val="24"/>
          <w:szCs w:val="24"/>
        </w:rPr>
        <w:t>7.1.10</w:t>
      </w:r>
      <w:r>
        <w:rPr>
          <w:rFonts w:hint="eastAsia" w:ascii="宋体" w:hAnsi="宋体"/>
          <w:sz w:val="24"/>
          <w:szCs w:val="24"/>
          <w:lang w:eastAsia="zh-CN"/>
        </w:rPr>
        <w:t>发包人</w:t>
      </w:r>
      <w:r>
        <w:rPr>
          <w:rFonts w:hint="eastAsia" w:ascii="宋体" w:hAnsi="宋体"/>
          <w:sz w:val="24"/>
          <w:szCs w:val="24"/>
        </w:rPr>
        <w:t>有权组织对</w:t>
      </w:r>
      <w:r>
        <w:rPr>
          <w:rFonts w:hint="eastAsia" w:ascii="宋体" w:hAnsi="宋体"/>
          <w:sz w:val="24"/>
          <w:szCs w:val="24"/>
          <w:lang w:eastAsia="zh-CN"/>
        </w:rPr>
        <w:t>承包人</w:t>
      </w:r>
      <w:r>
        <w:rPr>
          <w:rFonts w:hint="eastAsia" w:ascii="宋体" w:hAnsi="宋体"/>
          <w:sz w:val="24"/>
          <w:szCs w:val="24"/>
        </w:rPr>
        <w:t>的监测及测量成果的审查和验收。</w:t>
      </w:r>
    </w:p>
    <w:p>
      <w:pPr>
        <w:spacing w:beforeLines="30" w:line="440" w:lineRule="exact"/>
        <w:ind w:firstLine="480" w:firstLineChars="200"/>
        <w:jc w:val="left"/>
        <w:rPr>
          <w:rFonts w:ascii="宋体" w:hAnsi="宋体"/>
          <w:sz w:val="24"/>
          <w:szCs w:val="24"/>
        </w:rPr>
      </w:pPr>
      <w:r>
        <w:rPr>
          <w:rFonts w:hint="eastAsia" w:ascii="宋体" w:hAnsi="宋体"/>
          <w:sz w:val="24"/>
          <w:szCs w:val="24"/>
        </w:rPr>
        <w:t>7.1.11根据本合同规定按时付款。</w:t>
      </w:r>
    </w:p>
    <w:p>
      <w:pPr>
        <w:spacing w:beforeLines="30" w:line="440" w:lineRule="exact"/>
        <w:ind w:firstLine="480" w:firstLineChars="200"/>
        <w:jc w:val="left"/>
        <w:rPr>
          <w:rFonts w:ascii="宋体" w:hAnsi="宋体"/>
          <w:sz w:val="24"/>
          <w:szCs w:val="24"/>
        </w:rPr>
      </w:pPr>
      <w:r>
        <w:rPr>
          <w:rFonts w:hint="eastAsia" w:ascii="宋体" w:hAnsi="宋体"/>
          <w:sz w:val="24"/>
          <w:szCs w:val="24"/>
        </w:rPr>
        <w:t>7.1.12本合同有关条款规定和补充协议中</w:t>
      </w:r>
      <w:r>
        <w:rPr>
          <w:rFonts w:hint="eastAsia" w:ascii="宋体" w:hAnsi="宋体"/>
          <w:sz w:val="24"/>
          <w:szCs w:val="24"/>
          <w:lang w:eastAsia="zh-CN"/>
        </w:rPr>
        <w:t>发包人</w:t>
      </w:r>
      <w:r>
        <w:rPr>
          <w:rFonts w:hint="eastAsia" w:ascii="宋体" w:hAnsi="宋体"/>
          <w:sz w:val="24"/>
          <w:szCs w:val="24"/>
        </w:rPr>
        <w:t>应负的其它义务和权力。</w:t>
      </w:r>
    </w:p>
    <w:p>
      <w:pPr>
        <w:spacing w:beforeLines="30" w:line="440" w:lineRule="exact"/>
        <w:ind w:firstLine="480" w:firstLineChars="200"/>
        <w:jc w:val="left"/>
        <w:rPr>
          <w:rFonts w:ascii="宋体" w:hAnsi="宋体"/>
          <w:sz w:val="24"/>
          <w:szCs w:val="24"/>
        </w:rPr>
      </w:pPr>
      <w:r>
        <w:rPr>
          <w:rFonts w:hint="eastAsia" w:ascii="宋体" w:hAnsi="宋体"/>
          <w:sz w:val="24"/>
          <w:szCs w:val="24"/>
        </w:rPr>
        <w:t>7.2</w:t>
      </w:r>
      <w:r>
        <w:rPr>
          <w:rFonts w:hint="eastAsia" w:ascii="宋体" w:hAnsi="宋体"/>
          <w:sz w:val="24"/>
          <w:szCs w:val="24"/>
          <w:lang w:eastAsia="zh-CN"/>
        </w:rPr>
        <w:t>承包人</w:t>
      </w:r>
      <w:r>
        <w:rPr>
          <w:rFonts w:hint="eastAsia" w:ascii="宋体" w:hAnsi="宋体"/>
          <w:sz w:val="24"/>
          <w:szCs w:val="24"/>
        </w:rPr>
        <w:t>的义务和权力</w:t>
      </w:r>
    </w:p>
    <w:p>
      <w:pPr>
        <w:spacing w:beforeLines="30" w:line="440" w:lineRule="exact"/>
        <w:ind w:firstLine="480" w:firstLineChars="200"/>
        <w:jc w:val="left"/>
        <w:rPr>
          <w:rFonts w:ascii="宋体" w:hAnsi="宋体"/>
          <w:sz w:val="24"/>
          <w:szCs w:val="24"/>
        </w:rPr>
      </w:pPr>
      <w:r>
        <w:rPr>
          <w:rFonts w:hint="eastAsia" w:ascii="宋体" w:hAnsi="宋体"/>
          <w:sz w:val="24"/>
          <w:szCs w:val="24"/>
        </w:rPr>
        <w:t>7.2.1在开展监测工作前，提交合格的监测方案，方案经监理审核后方可实施。</w:t>
      </w:r>
    </w:p>
    <w:p>
      <w:pPr>
        <w:spacing w:beforeLines="30" w:line="440" w:lineRule="exact"/>
        <w:ind w:firstLine="480" w:firstLineChars="200"/>
        <w:jc w:val="left"/>
        <w:rPr>
          <w:rFonts w:ascii="宋体" w:hAnsi="宋体"/>
          <w:sz w:val="24"/>
          <w:szCs w:val="24"/>
        </w:rPr>
      </w:pPr>
      <w:r>
        <w:rPr>
          <w:rFonts w:hint="eastAsia" w:ascii="宋体" w:hAnsi="宋体"/>
          <w:sz w:val="24"/>
          <w:szCs w:val="24"/>
        </w:rPr>
        <w:t>7.2.2</w:t>
      </w:r>
      <w:r>
        <w:rPr>
          <w:rFonts w:hint="eastAsia" w:ascii="宋体" w:hAnsi="宋体"/>
          <w:sz w:val="24"/>
          <w:szCs w:val="24"/>
          <w:lang w:eastAsia="zh-CN"/>
        </w:rPr>
        <w:t>承包人</w:t>
      </w:r>
      <w:r>
        <w:rPr>
          <w:rFonts w:hint="eastAsia" w:ascii="宋体" w:hAnsi="宋体"/>
          <w:sz w:val="24"/>
          <w:szCs w:val="24"/>
        </w:rPr>
        <w:t>须按合同约定配置监测工作所需要的组织机构及监测及测量人员，监测及测量项目机构的主要管理、技术负责人应当长驻现场，不得随意更换，如确有特殊情况需要更换的，必须经业主单位书面同意，并调换与合同文件资质要求一致的人员。</w:t>
      </w:r>
    </w:p>
    <w:p>
      <w:pPr>
        <w:spacing w:beforeLines="30" w:line="440" w:lineRule="exact"/>
        <w:ind w:firstLine="480" w:firstLineChars="200"/>
        <w:jc w:val="left"/>
        <w:rPr>
          <w:rFonts w:ascii="宋体" w:hAnsi="宋体"/>
          <w:sz w:val="24"/>
          <w:szCs w:val="24"/>
        </w:rPr>
      </w:pPr>
      <w:r>
        <w:rPr>
          <w:rFonts w:hint="eastAsia" w:ascii="宋体" w:hAnsi="宋体"/>
          <w:sz w:val="24"/>
          <w:szCs w:val="24"/>
        </w:rPr>
        <w:t>7.2.3</w:t>
      </w:r>
      <w:r>
        <w:rPr>
          <w:rFonts w:hint="eastAsia" w:ascii="宋体" w:hAnsi="宋体"/>
          <w:sz w:val="24"/>
          <w:szCs w:val="24"/>
          <w:lang w:eastAsia="zh-CN"/>
        </w:rPr>
        <w:t>承包人</w:t>
      </w:r>
      <w:r>
        <w:rPr>
          <w:rFonts w:hint="eastAsia" w:ascii="宋体" w:hAnsi="宋体"/>
          <w:sz w:val="24"/>
          <w:szCs w:val="24"/>
        </w:rPr>
        <w:t>在安全、质量管理体系下，按照监测及测量工作计划、实施细则并配备与投标文件描述一致的工程技术人员、测量仪器等开展监测及测量工作，并按合同相关约定定期向业主报告监测工作进展情况。</w:t>
      </w:r>
    </w:p>
    <w:p>
      <w:pPr>
        <w:spacing w:beforeLines="30" w:line="440" w:lineRule="exact"/>
        <w:ind w:firstLine="480" w:firstLineChars="200"/>
        <w:jc w:val="left"/>
        <w:rPr>
          <w:rFonts w:ascii="宋体" w:hAnsi="宋体"/>
          <w:sz w:val="24"/>
          <w:szCs w:val="24"/>
        </w:rPr>
      </w:pPr>
      <w:r>
        <w:rPr>
          <w:rFonts w:hint="eastAsia" w:ascii="宋体" w:hAnsi="宋体"/>
          <w:sz w:val="24"/>
          <w:szCs w:val="24"/>
        </w:rPr>
        <w:t>7.2.4</w:t>
      </w:r>
      <w:r>
        <w:rPr>
          <w:rFonts w:hint="eastAsia" w:ascii="宋体" w:hAnsi="宋体"/>
          <w:sz w:val="24"/>
          <w:szCs w:val="24"/>
          <w:lang w:eastAsia="zh-CN"/>
        </w:rPr>
        <w:t>承包人</w:t>
      </w:r>
      <w:r>
        <w:rPr>
          <w:rFonts w:hint="eastAsia" w:ascii="宋体" w:hAnsi="宋体"/>
          <w:sz w:val="24"/>
          <w:szCs w:val="24"/>
        </w:rPr>
        <w:t>应根据现场施工情况、国家规范或设计要求，及时进场进行监测，密切配合施工进度，不得拖延。在观测过程中，若出现异常，应及时通知监理及</w:t>
      </w:r>
      <w:r>
        <w:rPr>
          <w:rFonts w:hint="eastAsia" w:ascii="宋体" w:hAnsi="宋体"/>
          <w:sz w:val="24"/>
          <w:szCs w:val="24"/>
          <w:lang w:eastAsia="zh-CN"/>
        </w:rPr>
        <w:t>发包人</w:t>
      </w:r>
      <w:r>
        <w:rPr>
          <w:rFonts w:hint="eastAsia" w:ascii="宋体" w:hAnsi="宋体"/>
          <w:sz w:val="24"/>
          <w:szCs w:val="24"/>
        </w:rPr>
        <w:t>，由此而增加的监测次数或监测点造成费用的增加包含在合同价（投标报价）中，结算时不与调整，同时</w:t>
      </w:r>
      <w:r>
        <w:rPr>
          <w:rFonts w:hint="eastAsia" w:ascii="宋体" w:hAnsi="宋体"/>
          <w:sz w:val="24"/>
          <w:szCs w:val="24"/>
          <w:lang w:eastAsia="zh-CN"/>
        </w:rPr>
        <w:t>承包人</w:t>
      </w:r>
      <w:r>
        <w:rPr>
          <w:rFonts w:hint="eastAsia" w:ascii="宋体" w:hAnsi="宋体"/>
          <w:sz w:val="24"/>
          <w:szCs w:val="24"/>
        </w:rPr>
        <w:t>应积极配合处理设计施工中出现的有关问题。</w:t>
      </w:r>
    </w:p>
    <w:p>
      <w:pPr>
        <w:spacing w:beforeLines="30" w:line="440" w:lineRule="exact"/>
        <w:ind w:firstLine="480" w:firstLineChars="200"/>
        <w:jc w:val="left"/>
        <w:rPr>
          <w:rFonts w:ascii="宋体" w:hAnsi="宋体"/>
          <w:sz w:val="24"/>
          <w:szCs w:val="24"/>
        </w:rPr>
      </w:pPr>
      <w:r>
        <w:rPr>
          <w:rFonts w:hint="eastAsia" w:ascii="宋体" w:hAnsi="宋体"/>
          <w:sz w:val="24"/>
          <w:szCs w:val="24"/>
        </w:rPr>
        <w:t>7.2.5</w:t>
      </w:r>
      <w:r>
        <w:rPr>
          <w:rFonts w:hint="eastAsia" w:ascii="宋体" w:hAnsi="宋体"/>
          <w:sz w:val="24"/>
          <w:szCs w:val="24"/>
          <w:lang w:eastAsia="zh-CN"/>
        </w:rPr>
        <w:t>承包人</w:t>
      </w:r>
      <w:r>
        <w:rPr>
          <w:rFonts w:hint="eastAsia" w:ascii="宋体" w:hAnsi="宋体"/>
          <w:sz w:val="24"/>
          <w:szCs w:val="24"/>
        </w:rPr>
        <w:t>应按国家技术规范、标准、规程和</w:t>
      </w:r>
      <w:r>
        <w:rPr>
          <w:rFonts w:hint="eastAsia" w:ascii="宋体" w:hAnsi="宋体"/>
          <w:sz w:val="24"/>
          <w:szCs w:val="24"/>
          <w:lang w:eastAsia="zh-CN"/>
        </w:rPr>
        <w:t>发包人</w:t>
      </w:r>
      <w:r>
        <w:rPr>
          <w:rFonts w:hint="eastAsia" w:ascii="宋体" w:hAnsi="宋体"/>
          <w:sz w:val="24"/>
          <w:szCs w:val="24"/>
        </w:rPr>
        <w:t>的任务委托书及技术要求进行工程监测，按本合同规定的时间提交质量合格的监测陈果，并对其负责。</w:t>
      </w:r>
    </w:p>
    <w:p>
      <w:pPr>
        <w:spacing w:beforeLines="30" w:line="440" w:lineRule="exact"/>
        <w:ind w:firstLine="480" w:firstLineChars="200"/>
        <w:jc w:val="left"/>
        <w:rPr>
          <w:rFonts w:ascii="宋体" w:hAnsi="宋体"/>
          <w:sz w:val="24"/>
          <w:szCs w:val="24"/>
        </w:rPr>
      </w:pPr>
      <w:r>
        <w:rPr>
          <w:rFonts w:hint="eastAsia" w:ascii="宋体" w:hAnsi="宋体"/>
          <w:sz w:val="24"/>
          <w:szCs w:val="24"/>
        </w:rPr>
        <w:t>7.2.6</w:t>
      </w:r>
      <w:r>
        <w:rPr>
          <w:rFonts w:hint="eastAsia" w:ascii="宋体" w:hAnsi="宋体"/>
          <w:sz w:val="24"/>
          <w:szCs w:val="24"/>
          <w:lang w:eastAsia="zh-CN"/>
        </w:rPr>
        <w:t>承包人</w:t>
      </w:r>
      <w:r>
        <w:rPr>
          <w:rFonts w:hint="eastAsia" w:ascii="宋体" w:hAnsi="宋体"/>
          <w:sz w:val="24"/>
          <w:szCs w:val="24"/>
        </w:rPr>
        <w:t>应保证监测过程的安全文明，坚决杜绝安全事故的发生。如发生与监测有关的安全事故，造成不良的社会影响及经济损失，一切责任均由</w:t>
      </w:r>
      <w:r>
        <w:rPr>
          <w:rFonts w:hint="eastAsia" w:ascii="宋体" w:hAnsi="宋体"/>
          <w:sz w:val="24"/>
          <w:szCs w:val="24"/>
          <w:lang w:eastAsia="zh-CN"/>
        </w:rPr>
        <w:t>承包人</w:t>
      </w:r>
      <w:r>
        <w:rPr>
          <w:rFonts w:hint="eastAsia" w:ascii="宋体" w:hAnsi="宋体"/>
          <w:sz w:val="24"/>
          <w:szCs w:val="24"/>
        </w:rPr>
        <w:t>承担。</w:t>
      </w:r>
    </w:p>
    <w:p>
      <w:pPr>
        <w:spacing w:beforeLines="30" w:line="440" w:lineRule="exact"/>
        <w:ind w:firstLine="480" w:firstLineChars="200"/>
        <w:jc w:val="left"/>
        <w:rPr>
          <w:rFonts w:ascii="宋体" w:hAnsi="宋体"/>
          <w:sz w:val="24"/>
          <w:szCs w:val="24"/>
        </w:rPr>
      </w:pPr>
      <w:r>
        <w:rPr>
          <w:rFonts w:hint="eastAsia" w:ascii="宋体" w:hAnsi="宋体"/>
          <w:sz w:val="24"/>
          <w:szCs w:val="24"/>
        </w:rPr>
        <w:t>7.2.7</w:t>
      </w:r>
      <w:r>
        <w:rPr>
          <w:rFonts w:hint="eastAsia" w:ascii="宋体" w:hAnsi="宋体"/>
          <w:sz w:val="24"/>
          <w:szCs w:val="24"/>
          <w:lang w:eastAsia="zh-CN"/>
        </w:rPr>
        <w:t>承包人</w:t>
      </w:r>
      <w:r>
        <w:rPr>
          <w:rFonts w:hint="eastAsia" w:ascii="宋体" w:hAnsi="宋体"/>
          <w:sz w:val="24"/>
          <w:szCs w:val="24"/>
        </w:rPr>
        <w:t>应积极参加与监测相关工程的施工交底及工程验收，配合处理施工过程中出现的异常问题，并根据</w:t>
      </w:r>
      <w:r>
        <w:rPr>
          <w:rFonts w:hint="eastAsia" w:ascii="宋体" w:hAnsi="宋体"/>
          <w:sz w:val="24"/>
          <w:szCs w:val="24"/>
          <w:lang w:eastAsia="zh-CN"/>
        </w:rPr>
        <w:t>发包人</w:t>
      </w:r>
      <w:r>
        <w:rPr>
          <w:rFonts w:hint="eastAsia" w:ascii="宋体" w:hAnsi="宋体"/>
          <w:sz w:val="24"/>
          <w:szCs w:val="24"/>
        </w:rPr>
        <w:t>要求，及时派驻专业工程师到现场解决问题。</w:t>
      </w:r>
    </w:p>
    <w:p>
      <w:pPr>
        <w:spacing w:beforeLines="30" w:line="440" w:lineRule="exact"/>
        <w:ind w:firstLine="480" w:firstLineChars="200"/>
        <w:jc w:val="left"/>
        <w:rPr>
          <w:rFonts w:ascii="宋体" w:hAnsi="宋体"/>
          <w:sz w:val="24"/>
          <w:szCs w:val="24"/>
        </w:rPr>
      </w:pPr>
      <w:r>
        <w:rPr>
          <w:rFonts w:hint="eastAsia" w:ascii="宋体" w:hAnsi="宋体"/>
          <w:sz w:val="24"/>
          <w:szCs w:val="24"/>
        </w:rPr>
        <w:t>7.2.8做好控制点和监测点的保护，确保监测数据真实有效。</w:t>
      </w:r>
    </w:p>
    <w:p>
      <w:pPr>
        <w:spacing w:beforeLines="30" w:line="440" w:lineRule="exact"/>
        <w:ind w:firstLine="480" w:firstLineChars="200"/>
        <w:jc w:val="left"/>
        <w:rPr>
          <w:rFonts w:ascii="宋体" w:hAnsi="宋体"/>
          <w:sz w:val="24"/>
          <w:szCs w:val="24"/>
        </w:rPr>
      </w:pPr>
      <w:r>
        <w:rPr>
          <w:rFonts w:hint="eastAsia" w:ascii="宋体" w:hAnsi="宋体"/>
          <w:sz w:val="24"/>
          <w:szCs w:val="24"/>
        </w:rPr>
        <w:t>7.2.9</w:t>
      </w:r>
      <w:r>
        <w:rPr>
          <w:rFonts w:hint="eastAsia" w:ascii="宋体" w:hAnsi="宋体"/>
          <w:sz w:val="24"/>
          <w:szCs w:val="24"/>
          <w:lang w:eastAsia="zh-CN"/>
        </w:rPr>
        <w:t>承包人</w:t>
      </w:r>
      <w:r>
        <w:rPr>
          <w:rFonts w:hint="eastAsia" w:ascii="宋体" w:hAnsi="宋体"/>
          <w:sz w:val="24"/>
          <w:szCs w:val="24"/>
        </w:rPr>
        <w:t>每次监测前后，应主动及时地通知监理单位，配合监理单位的合理安排，并与监理单位签字确认每次监测点数量及其位置。</w:t>
      </w:r>
    </w:p>
    <w:p>
      <w:pPr>
        <w:spacing w:beforeLines="30" w:line="440" w:lineRule="exact"/>
        <w:ind w:firstLine="480" w:firstLineChars="200"/>
        <w:jc w:val="left"/>
        <w:rPr>
          <w:rFonts w:ascii="宋体" w:hAnsi="宋体"/>
          <w:sz w:val="24"/>
          <w:szCs w:val="24"/>
        </w:rPr>
      </w:pPr>
      <w:r>
        <w:rPr>
          <w:rFonts w:hint="eastAsia" w:ascii="宋体" w:hAnsi="宋体"/>
          <w:sz w:val="24"/>
          <w:szCs w:val="24"/>
        </w:rPr>
        <w:t>7.2.10在监测及测量过程中，如因场地条件、设计方案的变更，需增减工作量或改变监测及测量手段，应及时报请</w:t>
      </w:r>
      <w:r>
        <w:rPr>
          <w:rFonts w:hint="eastAsia" w:ascii="宋体" w:hAnsi="宋体"/>
          <w:sz w:val="24"/>
          <w:szCs w:val="24"/>
          <w:lang w:eastAsia="zh-CN"/>
        </w:rPr>
        <w:t>发包人</w:t>
      </w:r>
      <w:r>
        <w:rPr>
          <w:rFonts w:hint="eastAsia" w:ascii="宋体" w:hAnsi="宋体"/>
          <w:sz w:val="24"/>
          <w:szCs w:val="24"/>
        </w:rPr>
        <w:t>进行审核，并取得</w:t>
      </w:r>
      <w:r>
        <w:rPr>
          <w:rFonts w:hint="eastAsia" w:ascii="宋体" w:hAnsi="宋体"/>
          <w:sz w:val="24"/>
          <w:szCs w:val="24"/>
          <w:lang w:eastAsia="zh-CN"/>
        </w:rPr>
        <w:t>发包人</w:t>
      </w:r>
      <w:r>
        <w:rPr>
          <w:rFonts w:hint="eastAsia" w:ascii="宋体" w:hAnsi="宋体"/>
          <w:sz w:val="24"/>
          <w:szCs w:val="24"/>
        </w:rPr>
        <w:t>批准后，方可办理变更手续。</w:t>
      </w:r>
    </w:p>
    <w:p>
      <w:pPr>
        <w:spacing w:beforeLines="30" w:line="440" w:lineRule="exact"/>
        <w:ind w:firstLine="480" w:firstLineChars="200"/>
        <w:jc w:val="left"/>
        <w:rPr>
          <w:rFonts w:ascii="宋体" w:hAnsi="宋体"/>
          <w:sz w:val="24"/>
          <w:szCs w:val="24"/>
        </w:rPr>
      </w:pPr>
      <w:r>
        <w:rPr>
          <w:rFonts w:hint="eastAsia" w:ascii="宋体" w:hAnsi="宋体"/>
          <w:sz w:val="24"/>
          <w:szCs w:val="24"/>
        </w:rPr>
        <w:t>7.2.11接受</w:t>
      </w:r>
      <w:r>
        <w:rPr>
          <w:rFonts w:hint="eastAsia" w:ascii="宋体" w:hAnsi="宋体"/>
          <w:sz w:val="24"/>
          <w:szCs w:val="24"/>
          <w:lang w:eastAsia="zh-CN"/>
        </w:rPr>
        <w:t>发包人</w:t>
      </w:r>
      <w:r>
        <w:rPr>
          <w:rFonts w:hint="eastAsia" w:ascii="宋体" w:hAnsi="宋体"/>
          <w:sz w:val="24"/>
          <w:szCs w:val="24"/>
        </w:rPr>
        <w:t>对工期、质量、人员组成、设备、仪器的监督。</w:t>
      </w:r>
    </w:p>
    <w:p>
      <w:pPr>
        <w:spacing w:beforeLines="30" w:line="440" w:lineRule="exact"/>
        <w:ind w:firstLine="480" w:firstLineChars="200"/>
        <w:jc w:val="left"/>
        <w:rPr>
          <w:rFonts w:ascii="宋体" w:hAnsi="宋体"/>
          <w:sz w:val="24"/>
          <w:szCs w:val="24"/>
        </w:rPr>
      </w:pPr>
      <w:r>
        <w:rPr>
          <w:rFonts w:hint="eastAsia" w:ascii="宋体" w:hAnsi="宋体"/>
          <w:sz w:val="24"/>
          <w:szCs w:val="24"/>
        </w:rPr>
        <w:t>7.2.12</w:t>
      </w:r>
      <w:r>
        <w:rPr>
          <w:rFonts w:hint="eastAsia" w:ascii="宋体" w:hAnsi="宋体"/>
          <w:sz w:val="24"/>
          <w:szCs w:val="24"/>
          <w:lang w:eastAsia="zh-CN"/>
        </w:rPr>
        <w:t>承包人</w:t>
      </w:r>
      <w:r>
        <w:rPr>
          <w:rFonts w:hint="eastAsia" w:ascii="宋体" w:hAnsi="宋体"/>
          <w:sz w:val="24"/>
          <w:szCs w:val="24"/>
        </w:rPr>
        <w:t>必须采取措施确保过路行人、车辆的安全，对自身的人员、设施及施工现场的安全负责，保持环境卫生，处理好与沿线单位和个人的关系，确保野外测量按期进行。</w:t>
      </w:r>
    </w:p>
    <w:p>
      <w:pPr>
        <w:spacing w:beforeLines="30" w:line="440" w:lineRule="exact"/>
        <w:ind w:firstLine="480" w:firstLineChars="200"/>
        <w:jc w:val="left"/>
        <w:rPr>
          <w:rFonts w:ascii="宋体" w:hAnsi="宋体"/>
          <w:sz w:val="24"/>
          <w:szCs w:val="24"/>
        </w:rPr>
      </w:pPr>
      <w:r>
        <w:rPr>
          <w:rFonts w:hint="eastAsia" w:ascii="宋体" w:hAnsi="宋体"/>
          <w:sz w:val="24"/>
          <w:szCs w:val="24"/>
        </w:rPr>
        <w:t>7.2.13</w:t>
      </w:r>
      <w:r>
        <w:rPr>
          <w:rFonts w:hint="eastAsia" w:ascii="宋体" w:hAnsi="宋体"/>
          <w:sz w:val="24"/>
          <w:szCs w:val="24"/>
          <w:lang w:eastAsia="zh-CN"/>
        </w:rPr>
        <w:t>承包人</w:t>
      </w:r>
      <w:r>
        <w:rPr>
          <w:rFonts w:hint="eastAsia" w:ascii="宋体" w:hAnsi="宋体"/>
          <w:sz w:val="24"/>
          <w:szCs w:val="24"/>
        </w:rPr>
        <w:t>承诺建立完善的质量安全保证体系，配备与投标文件相一致且满足工程建设规模、技术要求、安全要求的项目管理机构和项目管理人员，其提供的服务均已包含在合同价内，并在合同执行完毕后由</w:t>
      </w:r>
      <w:r>
        <w:rPr>
          <w:rFonts w:hint="eastAsia" w:ascii="宋体" w:hAnsi="宋体"/>
          <w:sz w:val="24"/>
          <w:szCs w:val="24"/>
          <w:lang w:eastAsia="zh-CN"/>
        </w:rPr>
        <w:t>发包人</w:t>
      </w:r>
      <w:r>
        <w:rPr>
          <w:rFonts w:hint="eastAsia" w:ascii="宋体" w:hAnsi="宋体"/>
          <w:sz w:val="24"/>
          <w:szCs w:val="24"/>
        </w:rPr>
        <w:t>提供有效证明后方可离开，否则视为违约。</w:t>
      </w:r>
      <w:r>
        <w:rPr>
          <w:rFonts w:hint="eastAsia" w:ascii="宋体" w:hAnsi="宋体"/>
          <w:sz w:val="24"/>
          <w:szCs w:val="24"/>
          <w:lang w:eastAsia="zh-CN"/>
        </w:rPr>
        <w:t>承包人</w:t>
      </w:r>
      <w:r>
        <w:rPr>
          <w:rFonts w:hint="eastAsia" w:ascii="宋体" w:hAnsi="宋体"/>
          <w:sz w:val="24"/>
          <w:szCs w:val="24"/>
        </w:rPr>
        <w:t>在本工程中配备的项目管理机构和项目管理人员详见投标文件《项目管理班子配备情况表》。撤换上述人员前，必须征得</w:t>
      </w:r>
      <w:r>
        <w:rPr>
          <w:rFonts w:hint="eastAsia" w:ascii="宋体" w:hAnsi="宋体"/>
          <w:sz w:val="24"/>
          <w:szCs w:val="24"/>
          <w:lang w:eastAsia="zh-CN"/>
        </w:rPr>
        <w:t>发包人</w:t>
      </w:r>
      <w:r>
        <w:rPr>
          <w:rFonts w:hint="eastAsia" w:ascii="宋体" w:hAnsi="宋体"/>
          <w:sz w:val="24"/>
          <w:szCs w:val="24"/>
        </w:rPr>
        <w:t>批准同意。否则，</w:t>
      </w:r>
      <w:r>
        <w:rPr>
          <w:rFonts w:hint="eastAsia" w:ascii="宋体" w:hAnsi="宋体"/>
          <w:sz w:val="24"/>
          <w:szCs w:val="24"/>
          <w:lang w:eastAsia="zh-CN"/>
        </w:rPr>
        <w:t>发包人</w:t>
      </w:r>
      <w:r>
        <w:rPr>
          <w:rFonts w:hint="eastAsia" w:ascii="宋体" w:hAnsi="宋体"/>
          <w:sz w:val="24"/>
          <w:szCs w:val="24"/>
        </w:rPr>
        <w:t>有权取消</w:t>
      </w:r>
      <w:r>
        <w:rPr>
          <w:rFonts w:hint="eastAsia" w:ascii="宋体" w:hAnsi="宋体"/>
          <w:sz w:val="24"/>
          <w:szCs w:val="24"/>
          <w:lang w:eastAsia="zh-CN"/>
        </w:rPr>
        <w:t>承包人</w:t>
      </w:r>
      <w:r>
        <w:rPr>
          <w:rFonts w:hint="eastAsia" w:ascii="宋体" w:hAnsi="宋体"/>
          <w:sz w:val="24"/>
          <w:szCs w:val="24"/>
        </w:rPr>
        <w:t>的中标资格或单方面终止合同，由此造成的违约责任由</w:t>
      </w:r>
      <w:r>
        <w:rPr>
          <w:rFonts w:hint="eastAsia" w:ascii="宋体" w:hAnsi="宋体"/>
          <w:sz w:val="24"/>
          <w:szCs w:val="24"/>
          <w:lang w:eastAsia="zh-CN"/>
        </w:rPr>
        <w:t>承包人</w:t>
      </w:r>
      <w:r>
        <w:rPr>
          <w:rFonts w:hint="eastAsia" w:ascii="宋体" w:hAnsi="宋体"/>
          <w:sz w:val="24"/>
          <w:szCs w:val="24"/>
        </w:rPr>
        <w:t>承担。</w:t>
      </w:r>
    </w:p>
    <w:p>
      <w:pPr>
        <w:spacing w:beforeLines="30" w:line="440" w:lineRule="exact"/>
        <w:ind w:firstLine="480" w:firstLineChars="200"/>
        <w:jc w:val="left"/>
        <w:rPr>
          <w:rFonts w:ascii="宋体" w:hAnsi="宋体"/>
          <w:sz w:val="24"/>
          <w:szCs w:val="24"/>
        </w:rPr>
      </w:pPr>
      <w:r>
        <w:rPr>
          <w:rFonts w:hint="eastAsia" w:ascii="宋体" w:hAnsi="宋体"/>
          <w:sz w:val="24"/>
          <w:szCs w:val="24"/>
        </w:rPr>
        <w:t>7.2.14单独承担合同任务，不得分包给第三方。</w:t>
      </w:r>
    </w:p>
    <w:p>
      <w:pPr>
        <w:spacing w:beforeLines="30" w:line="440" w:lineRule="exact"/>
        <w:ind w:firstLine="480" w:firstLineChars="200"/>
        <w:jc w:val="left"/>
        <w:rPr>
          <w:rFonts w:ascii="宋体" w:hAnsi="宋体"/>
          <w:sz w:val="24"/>
          <w:szCs w:val="24"/>
        </w:rPr>
      </w:pPr>
      <w:r>
        <w:rPr>
          <w:rFonts w:hint="eastAsia" w:ascii="宋体" w:hAnsi="宋体"/>
          <w:sz w:val="24"/>
          <w:szCs w:val="24"/>
        </w:rPr>
        <w:t>7.2.15依本合同约定收取合同价款。</w:t>
      </w:r>
    </w:p>
    <w:p>
      <w:pPr>
        <w:spacing w:beforeLines="30" w:line="440" w:lineRule="exact"/>
        <w:ind w:firstLine="480" w:firstLineChars="200"/>
        <w:jc w:val="left"/>
        <w:rPr>
          <w:rFonts w:ascii="宋体" w:hAnsi="宋体"/>
          <w:sz w:val="24"/>
          <w:szCs w:val="24"/>
        </w:rPr>
      </w:pPr>
      <w:r>
        <w:rPr>
          <w:rFonts w:hint="eastAsia" w:ascii="宋体" w:hAnsi="宋体"/>
          <w:sz w:val="24"/>
          <w:szCs w:val="24"/>
        </w:rPr>
        <w:t>7.2.16监测及测量设备故障响应：当地面监测及测量仪器出现故障时，仪器检修人员应在2小时内赶到现场进行排查。对于仪器的自身故障，在无外界干扰情况下应在3小时内给予排除；当既有监测及测量仪器出现故障时，仪器检修人员应在2小时内安排进入现场时间。进入现场后，对于仪器的自身故障，在3小时内给予排除。</w:t>
      </w:r>
    </w:p>
    <w:p>
      <w:pPr>
        <w:spacing w:beforeLines="30" w:line="440" w:lineRule="exact"/>
        <w:ind w:firstLine="480" w:firstLineChars="200"/>
        <w:jc w:val="left"/>
        <w:rPr>
          <w:rFonts w:ascii="宋体" w:hAnsi="宋体"/>
          <w:sz w:val="24"/>
          <w:szCs w:val="24"/>
        </w:rPr>
      </w:pPr>
      <w:r>
        <w:rPr>
          <w:rFonts w:hint="eastAsia" w:ascii="宋体" w:hAnsi="宋体"/>
          <w:sz w:val="24"/>
          <w:szCs w:val="24"/>
        </w:rPr>
        <w:t>7.2.17</w:t>
      </w:r>
      <w:r>
        <w:rPr>
          <w:rFonts w:hint="eastAsia" w:ascii="宋体" w:hAnsi="宋体"/>
          <w:sz w:val="24"/>
          <w:szCs w:val="24"/>
          <w:lang w:eastAsia="zh-CN"/>
        </w:rPr>
        <w:t>承包人</w:t>
      </w:r>
      <w:r>
        <w:rPr>
          <w:rFonts w:hint="eastAsia" w:ascii="宋体" w:hAnsi="宋体"/>
          <w:sz w:val="24"/>
          <w:szCs w:val="24"/>
        </w:rPr>
        <w:t>应结合施工图纸、招标工程量等技术要求编制各项监测方案，最终实施方案以</w:t>
      </w:r>
      <w:r>
        <w:rPr>
          <w:rFonts w:hint="eastAsia" w:ascii="宋体" w:hAnsi="宋体"/>
          <w:sz w:val="24"/>
          <w:szCs w:val="24"/>
          <w:lang w:eastAsia="zh-CN"/>
        </w:rPr>
        <w:t>发包人</w:t>
      </w:r>
      <w:r>
        <w:rPr>
          <w:rFonts w:hint="eastAsia" w:ascii="宋体" w:hAnsi="宋体"/>
          <w:sz w:val="24"/>
          <w:szCs w:val="24"/>
        </w:rPr>
        <w:t>及监理单位批准的监测方案为准。</w:t>
      </w:r>
    </w:p>
    <w:p>
      <w:pPr>
        <w:spacing w:beforeLines="30" w:line="440" w:lineRule="exact"/>
        <w:ind w:firstLine="480" w:firstLineChars="200"/>
        <w:jc w:val="left"/>
        <w:rPr>
          <w:rFonts w:ascii="宋体" w:hAnsi="宋体"/>
          <w:sz w:val="24"/>
          <w:szCs w:val="24"/>
        </w:rPr>
      </w:pPr>
      <w:r>
        <w:rPr>
          <w:rFonts w:hint="eastAsia" w:ascii="宋体" w:hAnsi="宋体"/>
          <w:sz w:val="24"/>
          <w:szCs w:val="24"/>
        </w:rPr>
        <w:t>7.2.18本合同有关条款规定和补充协议中</w:t>
      </w:r>
      <w:r>
        <w:rPr>
          <w:rFonts w:hint="eastAsia" w:ascii="宋体" w:hAnsi="宋体"/>
          <w:sz w:val="24"/>
          <w:szCs w:val="24"/>
          <w:lang w:eastAsia="zh-CN"/>
        </w:rPr>
        <w:t>承包人</w:t>
      </w:r>
      <w:r>
        <w:rPr>
          <w:rFonts w:hint="eastAsia" w:ascii="宋体" w:hAnsi="宋体"/>
          <w:sz w:val="24"/>
          <w:szCs w:val="24"/>
        </w:rPr>
        <w:t>应负的其它责任。</w:t>
      </w:r>
    </w:p>
    <w:p>
      <w:pPr>
        <w:spacing w:beforeLines="30" w:line="440" w:lineRule="exact"/>
        <w:ind w:firstLine="480" w:firstLineChars="200"/>
        <w:jc w:val="left"/>
        <w:rPr>
          <w:rFonts w:ascii="宋体" w:hAnsi="宋体"/>
          <w:sz w:val="24"/>
          <w:szCs w:val="24"/>
        </w:rPr>
      </w:pPr>
      <w:r>
        <w:rPr>
          <w:rFonts w:hint="eastAsia" w:ascii="宋体" w:hAnsi="宋体"/>
          <w:sz w:val="24"/>
          <w:szCs w:val="24"/>
        </w:rPr>
        <w:t>第八条  违约责任</w:t>
      </w:r>
    </w:p>
    <w:p>
      <w:pPr>
        <w:spacing w:beforeLines="30" w:line="440" w:lineRule="exact"/>
        <w:ind w:firstLine="480" w:firstLineChars="200"/>
        <w:jc w:val="left"/>
        <w:rPr>
          <w:rFonts w:ascii="宋体" w:hAnsi="宋体"/>
          <w:sz w:val="24"/>
          <w:szCs w:val="24"/>
        </w:rPr>
      </w:pPr>
      <w:r>
        <w:rPr>
          <w:rFonts w:hint="eastAsia" w:ascii="宋体" w:hAnsi="宋体"/>
          <w:sz w:val="24"/>
          <w:szCs w:val="24"/>
        </w:rPr>
        <w:t>8.1由于</w:t>
      </w:r>
      <w:r>
        <w:rPr>
          <w:rFonts w:hint="eastAsia" w:ascii="宋体" w:hAnsi="宋体"/>
          <w:sz w:val="24"/>
          <w:szCs w:val="24"/>
          <w:lang w:eastAsia="zh-CN"/>
        </w:rPr>
        <w:t>承包人</w:t>
      </w:r>
      <w:r>
        <w:rPr>
          <w:rFonts w:hint="eastAsia" w:ascii="宋体" w:hAnsi="宋体"/>
          <w:sz w:val="24"/>
          <w:szCs w:val="24"/>
        </w:rPr>
        <w:t>提供的工程监测成果质量不合格，</w:t>
      </w:r>
      <w:r>
        <w:rPr>
          <w:rFonts w:hint="eastAsia" w:ascii="宋体" w:hAnsi="宋体"/>
          <w:sz w:val="24"/>
          <w:szCs w:val="24"/>
          <w:lang w:eastAsia="zh-CN"/>
        </w:rPr>
        <w:t>承包人</w:t>
      </w:r>
      <w:r>
        <w:rPr>
          <w:rFonts w:hint="eastAsia" w:ascii="宋体" w:hAnsi="宋体"/>
          <w:sz w:val="24"/>
          <w:szCs w:val="24"/>
        </w:rPr>
        <w:t>应负责无偿给予补充完善使其达到质量合格；若</w:t>
      </w:r>
      <w:r>
        <w:rPr>
          <w:rFonts w:hint="eastAsia" w:ascii="宋体" w:hAnsi="宋体"/>
          <w:sz w:val="24"/>
          <w:szCs w:val="24"/>
          <w:lang w:eastAsia="zh-CN"/>
        </w:rPr>
        <w:t>承包人</w:t>
      </w:r>
      <w:r>
        <w:rPr>
          <w:rFonts w:hint="eastAsia" w:ascii="宋体" w:hAnsi="宋体"/>
          <w:sz w:val="24"/>
          <w:szCs w:val="24"/>
        </w:rPr>
        <w:t>无力、不及时或者拒绝履行补充完善义务，</w:t>
      </w:r>
      <w:r>
        <w:rPr>
          <w:rFonts w:hint="eastAsia" w:ascii="宋体" w:hAnsi="宋体"/>
          <w:sz w:val="24"/>
          <w:szCs w:val="24"/>
          <w:lang w:eastAsia="zh-CN"/>
        </w:rPr>
        <w:t>发包人</w:t>
      </w:r>
      <w:r>
        <w:rPr>
          <w:rFonts w:hint="eastAsia" w:ascii="宋体" w:hAnsi="宋体"/>
          <w:sz w:val="24"/>
          <w:szCs w:val="24"/>
        </w:rPr>
        <w:t>有权自行另行委托其他单位，因此而发生的全部工程监测费用均由</w:t>
      </w:r>
      <w:r>
        <w:rPr>
          <w:rFonts w:hint="eastAsia" w:ascii="宋体" w:hAnsi="宋体"/>
          <w:sz w:val="24"/>
          <w:szCs w:val="24"/>
          <w:lang w:eastAsia="zh-CN"/>
        </w:rPr>
        <w:t>承包人</w:t>
      </w:r>
      <w:r>
        <w:rPr>
          <w:rFonts w:hint="eastAsia" w:ascii="宋体" w:hAnsi="宋体"/>
          <w:sz w:val="24"/>
          <w:szCs w:val="24"/>
        </w:rPr>
        <w:t>承担。</w:t>
      </w:r>
    </w:p>
    <w:p>
      <w:pPr>
        <w:spacing w:beforeLines="30" w:line="440" w:lineRule="exact"/>
        <w:ind w:firstLine="480" w:firstLineChars="200"/>
        <w:jc w:val="left"/>
        <w:rPr>
          <w:rFonts w:ascii="宋体" w:hAnsi="宋体"/>
          <w:sz w:val="24"/>
          <w:szCs w:val="24"/>
        </w:rPr>
      </w:pPr>
      <w:r>
        <w:rPr>
          <w:rFonts w:hint="eastAsia" w:ascii="宋体" w:hAnsi="宋体"/>
          <w:sz w:val="24"/>
          <w:szCs w:val="24"/>
        </w:rPr>
        <w:t>8.2由于监测质量的原因导致工程质量事故造成工程损失的，或导致重大设计变更造成工程费用增加的，</w:t>
      </w:r>
      <w:r>
        <w:rPr>
          <w:rFonts w:hint="eastAsia" w:ascii="宋体" w:hAnsi="宋体"/>
          <w:sz w:val="24"/>
          <w:szCs w:val="24"/>
          <w:lang w:eastAsia="zh-CN"/>
        </w:rPr>
        <w:t>承包人</w:t>
      </w:r>
      <w:r>
        <w:rPr>
          <w:rFonts w:hint="eastAsia" w:ascii="宋体" w:hAnsi="宋体"/>
          <w:sz w:val="24"/>
          <w:szCs w:val="24"/>
        </w:rPr>
        <w:t>除应负法律责任外，还应向</w:t>
      </w:r>
      <w:r>
        <w:rPr>
          <w:rFonts w:hint="eastAsia" w:ascii="宋体" w:hAnsi="宋体"/>
          <w:sz w:val="24"/>
          <w:szCs w:val="24"/>
          <w:lang w:eastAsia="zh-CN"/>
        </w:rPr>
        <w:t>发包人</w:t>
      </w:r>
      <w:r>
        <w:rPr>
          <w:rFonts w:hint="eastAsia" w:ascii="宋体" w:hAnsi="宋体"/>
          <w:sz w:val="24"/>
          <w:szCs w:val="24"/>
        </w:rPr>
        <w:t>支付赔偿金，赔偿金为合同价的20%。</w:t>
      </w:r>
    </w:p>
    <w:p>
      <w:pPr>
        <w:spacing w:beforeLines="30" w:line="440" w:lineRule="exact"/>
        <w:ind w:firstLine="480" w:firstLineChars="200"/>
        <w:jc w:val="left"/>
        <w:rPr>
          <w:rFonts w:ascii="宋体" w:hAnsi="宋体"/>
          <w:sz w:val="24"/>
          <w:szCs w:val="24"/>
        </w:rPr>
      </w:pPr>
      <w:r>
        <w:rPr>
          <w:rFonts w:hint="eastAsia" w:ascii="宋体" w:hAnsi="宋体"/>
          <w:sz w:val="24"/>
          <w:szCs w:val="24"/>
        </w:rPr>
        <w:t>8.3由于</w:t>
      </w:r>
      <w:r>
        <w:rPr>
          <w:rFonts w:hint="eastAsia" w:ascii="宋体" w:hAnsi="宋体"/>
          <w:sz w:val="24"/>
          <w:szCs w:val="24"/>
          <w:lang w:eastAsia="zh-CN"/>
        </w:rPr>
        <w:t>承包人</w:t>
      </w:r>
      <w:r>
        <w:rPr>
          <w:rFonts w:hint="eastAsia" w:ascii="宋体" w:hAnsi="宋体"/>
          <w:sz w:val="24"/>
          <w:szCs w:val="24"/>
        </w:rPr>
        <w:t>原因未按</w:t>
      </w:r>
      <w:r>
        <w:rPr>
          <w:rFonts w:hint="eastAsia" w:ascii="宋体" w:hAnsi="宋体"/>
          <w:sz w:val="24"/>
          <w:szCs w:val="24"/>
          <w:lang w:eastAsia="zh-CN"/>
        </w:rPr>
        <w:t>发包人</w:t>
      </w:r>
      <w:r>
        <w:rPr>
          <w:rFonts w:hint="eastAsia" w:ascii="宋体" w:hAnsi="宋体"/>
          <w:sz w:val="24"/>
          <w:szCs w:val="24"/>
        </w:rPr>
        <w:t>要求及时进场监测，每延误一天按人民币</w:t>
      </w:r>
      <w:r>
        <w:rPr>
          <w:rFonts w:hint="eastAsia" w:ascii="宋体" w:hAnsi="宋体"/>
          <w:sz w:val="24"/>
          <w:szCs w:val="24"/>
          <w:u w:val="single"/>
        </w:rPr>
        <w:t>1000</w:t>
      </w:r>
      <w:r>
        <w:rPr>
          <w:rFonts w:hint="eastAsia" w:ascii="宋体" w:hAnsi="宋体"/>
          <w:sz w:val="24"/>
          <w:szCs w:val="24"/>
        </w:rPr>
        <w:t>元罚款，总罚款额不超过合同价的20%。</w:t>
      </w:r>
    </w:p>
    <w:p>
      <w:pPr>
        <w:spacing w:beforeLines="30" w:line="440" w:lineRule="exact"/>
        <w:ind w:firstLine="480" w:firstLineChars="200"/>
        <w:jc w:val="left"/>
        <w:rPr>
          <w:rFonts w:ascii="宋体" w:hAnsi="宋体"/>
          <w:sz w:val="24"/>
          <w:szCs w:val="24"/>
        </w:rPr>
      </w:pPr>
      <w:r>
        <w:rPr>
          <w:rFonts w:hint="eastAsia" w:ascii="宋体" w:hAnsi="宋体"/>
          <w:sz w:val="24"/>
          <w:szCs w:val="24"/>
        </w:rPr>
        <w:t>8.4合同履行期间，由于工程停建而终止合同或</w:t>
      </w:r>
      <w:r>
        <w:rPr>
          <w:rFonts w:hint="eastAsia" w:ascii="宋体" w:hAnsi="宋体"/>
          <w:sz w:val="24"/>
          <w:szCs w:val="24"/>
          <w:lang w:eastAsia="zh-CN"/>
        </w:rPr>
        <w:t>发包人</w:t>
      </w:r>
      <w:r>
        <w:rPr>
          <w:rFonts w:hint="eastAsia" w:ascii="宋体" w:hAnsi="宋体"/>
          <w:sz w:val="24"/>
          <w:szCs w:val="24"/>
        </w:rPr>
        <w:t>要求解除合同时，</w:t>
      </w:r>
      <w:r>
        <w:rPr>
          <w:rFonts w:hint="eastAsia" w:ascii="宋体" w:hAnsi="宋体"/>
          <w:sz w:val="24"/>
          <w:szCs w:val="24"/>
          <w:lang w:eastAsia="zh-CN"/>
        </w:rPr>
        <w:t>承包人</w:t>
      </w:r>
      <w:r>
        <w:rPr>
          <w:rFonts w:hint="eastAsia" w:ascii="宋体" w:hAnsi="宋体"/>
          <w:sz w:val="24"/>
          <w:szCs w:val="24"/>
        </w:rPr>
        <w:t>未进行监测工作的，合同自然解除；已进行监测工作的，按实际完成的工作量支付监测费。</w:t>
      </w:r>
    </w:p>
    <w:p>
      <w:pPr>
        <w:spacing w:beforeLines="30" w:line="440" w:lineRule="exact"/>
        <w:ind w:firstLine="480" w:firstLineChars="200"/>
        <w:jc w:val="left"/>
        <w:rPr>
          <w:rFonts w:ascii="宋体" w:hAnsi="宋体"/>
          <w:sz w:val="24"/>
          <w:szCs w:val="24"/>
        </w:rPr>
      </w:pPr>
      <w:r>
        <w:rPr>
          <w:rFonts w:hint="eastAsia" w:ascii="宋体" w:hAnsi="宋体"/>
          <w:sz w:val="24"/>
          <w:szCs w:val="24"/>
        </w:rPr>
        <w:t>8.5合同生效后，若</w:t>
      </w:r>
      <w:r>
        <w:rPr>
          <w:rFonts w:hint="eastAsia" w:ascii="宋体" w:hAnsi="宋体"/>
          <w:sz w:val="24"/>
          <w:szCs w:val="24"/>
          <w:lang w:eastAsia="zh-CN"/>
        </w:rPr>
        <w:t>发包人</w:t>
      </w:r>
      <w:r>
        <w:rPr>
          <w:rFonts w:hint="eastAsia" w:ascii="宋体" w:hAnsi="宋体"/>
          <w:sz w:val="24"/>
          <w:szCs w:val="24"/>
        </w:rPr>
        <w:t>不按合同履行职责，已支付的监测及测量费用不得收回；若</w:t>
      </w:r>
      <w:r>
        <w:rPr>
          <w:rFonts w:hint="eastAsia" w:ascii="宋体" w:hAnsi="宋体"/>
          <w:sz w:val="24"/>
          <w:szCs w:val="24"/>
          <w:lang w:eastAsia="zh-CN"/>
        </w:rPr>
        <w:t>承包人</w:t>
      </w:r>
      <w:r>
        <w:rPr>
          <w:rFonts w:hint="eastAsia" w:ascii="宋体" w:hAnsi="宋体"/>
          <w:sz w:val="24"/>
          <w:szCs w:val="24"/>
        </w:rPr>
        <w:t>不按合同履行职责，</w:t>
      </w:r>
      <w:r>
        <w:rPr>
          <w:rFonts w:hint="eastAsia" w:ascii="宋体" w:hAnsi="宋体"/>
          <w:sz w:val="24"/>
          <w:szCs w:val="24"/>
          <w:lang w:eastAsia="zh-CN"/>
        </w:rPr>
        <w:t>发包人</w:t>
      </w:r>
      <w:r>
        <w:rPr>
          <w:rFonts w:hint="eastAsia" w:ascii="宋体" w:hAnsi="宋体"/>
          <w:sz w:val="24"/>
          <w:szCs w:val="24"/>
        </w:rPr>
        <w:t>有权撤消与</w:t>
      </w:r>
      <w:r>
        <w:rPr>
          <w:rFonts w:hint="eastAsia" w:ascii="宋体" w:hAnsi="宋体"/>
          <w:sz w:val="24"/>
          <w:szCs w:val="24"/>
          <w:lang w:eastAsia="zh-CN"/>
        </w:rPr>
        <w:t>承包人</w:t>
      </w:r>
      <w:r>
        <w:rPr>
          <w:rFonts w:hint="eastAsia" w:ascii="宋体" w:hAnsi="宋体"/>
          <w:sz w:val="24"/>
          <w:szCs w:val="24"/>
        </w:rPr>
        <w:t>的合同关系；若</w:t>
      </w:r>
      <w:r>
        <w:rPr>
          <w:rFonts w:hint="eastAsia" w:ascii="宋体" w:hAnsi="宋体"/>
          <w:sz w:val="24"/>
          <w:szCs w:val="24"/>
          <w:lang w:eastAsia="zh-CN"/>
        </w:rPr>
        <w:t>承包人</w:t>
      </w:r>
      <w:r>
        <w:rPr>
          <w:rFonts w:hint="eastAsia" w:ascii="宋体" w:hAnsi="宋体"/>
          <w:sz w:val="24"/>
          <w:szCs w:val="24"/>
        </w:rPr>
        <w:t>不按合同履行职责，须补偿</w:t>
      </w:r>
      <w:r>
        <w:rPr>
          <w:rFonts w:hint="eastAsia" w:ascii="宋体" w:hAnsi="宋体"/>
          <w:sz w:val="24"/>
          <w:szCs w:val="24"/>
          <w:lang w:eastAsia="zh-CN"/>
        </w:rPr>
        <w:t>发包人</w:t>
      </w:r>
      <w:r>
        <w:rPr>
          <w:rFonts w:hint="eastAsia" w:ascii="宋体" w:hAnsi="宋体"/>
          <w:sz w:val="24"/>
          <w:szCs w:val="24"/>
        </w:rPr>
        <w:t>的损失，包括</w:t>
      </w:r>
      <w:r>
        <w:rPr>
          <w:rFonts w:hint="eastAsia" w:ascii="宋体" w:hAnsi="宋体"/>
          <w:sz w:val="24"/>
          <w:szCs w:val="24"/>
          <w:lang w:eastAsia="zh-CN"/>
        </w:rPr>
        <w:t>发包人</w:t>
      </w:r>
      <w:r>
        <w:rPr>
          <w:rFonts w:hint="eastAsia" w:ascii="宋体" w:hAnsi="宋体"/>
          <w:sz w:val="24"/>
          <w:szCs w:val="24"/>
        </w:rPr>
        <w:t>重新招标费用、延误工期损失、并且</w:t>
      </w:r>
      <w:r>
        <w:rPr>
          <w:rFonts w:hint="eastAsia" w:ascii="宋体" w:hAnsi="宋体"/>
          <w:sz w:val="24"/>
          <w:szCs w:val="24"/>
          <w:lang w:eastAsia="zh-CN"/>
        </w:rPr>
        <w:t>发包人</w:t>
      </w:r>
      <w:r>
        <w:rPr>
          <w:rFonts w:hint="eastAsia" w:ascii="宋体" w:hAnsi="宋体"/>
          <w:sz w:val="24"/>
          <w:szCs w:val="24"/>
        </w:rPr>
        <w:t>可扣除</w:t>
      </w:r>
      <w:r>
        <w:rPr>
          <w:rFonts w:hint="eastAsia" w:ascii="宋体" w:hAnsi="宋体"/>
          <w:sz w:val="24"/>
          <w:szCs w:val="24"/>
          <w:lang w:eastAsia="zh-CN"/>
        </w:rPr>
        <w:t>承包人</w:t>
      </w:r>
      <w:r>
        <w:rPr>
          <w:rFonts w:hint="eastAsia" w:ascii="宋体" w:hAnsi="宋体"/>
          <w:sz w:val="24"/>
          <w:szCs w:val="24"/>
        </w:rPr>
        <w:t>应收取的费用作为违约金。</w:t>
      </w:r>
    </w:p>
    <w:p>
      <w:pPr>
        <w:spacing w:beforeLines="30" w:line="440" w:lineRule="exact"/>
        <w:ind w:firstLine="480" w:firstLineChars="200"/>
        <w:jc w:val="left"/>
        <w:rPr>
          <w:rFonts w:ascii="宋体" w:hAnsi="宋体"/>
          <w:sz w:val="24"/>
          <w:szCs w:val="24"/>
        </w:rPr>
      </w:pPr>
      <w:r>
        <w:rPr>
          <w:rFonts w:hint="eastAsia" w:ascii="宋体" w:hAnsi="宋体"/>
          <w:sz w:val="24"/>
          <w:szCs w:val="24"/>
        </w:rPr>
        <w:t>8.6由于设计变更等原因造成</w:t>
      </w:r>
      <w:r>
        <w:rPr>
          <w:rFonts w:hint="eastAsia" w:ascii="宋体" w:hAnsi="宋体"/>
          <w:sz w:val="24"/>
          <w:szCs w:val="24"/>
          <w:lang w:eastAsia="zh-CN"/>
        </w:rPr>
        <w:t>承包人</w:t>
      </w:r>
      <w:r>
        <w:rPr>
          <w:rFonts w:hint="eastAsia" w:ascii="宋体" w:hAnsi="宋体"/>
          <w:sz w:val="24"/>
          <w:szCs w:val="24"/>
        </w:rPr>
        <w:t>返工、停工、误工，</w:t>
      </w:r>
      <w:r>
        <w:rPr>
          <w:rFonts w:hint="eastAsia" w:ascii="宋体" w:hAnsi="宋体"/>
          <w:sz w:val="24"/>
          <w:szCs w:val="24"/>
          <w:lang w:eastAsia="zh-CN"/>
        </w:rPr>
        <w:t>发包人</w:t>
      </w:r>
      <w:r>
        <w:rPr>
          <w:rFonts w:hint="eastAsia" w:ascii="宋体" w:hAnsi="宋体"/>
          <w:sz w:val="24"/>
          <w:szCs w:val="24"/>
        </w:rPr>
        <w:t>应顺延工期。</w:t>
      </w:r>
    </w:p>
    <w:p>
      <w:pPr>
        <w:spacing w:beforeLines="30" w:line="440" w:lineRule="exact"/>
        <w:ind w:firstLine="480" w:firstLineChars="200"/>
        <w:jc w:val="left"/>
        <w:rPr>
          <w:rFonts w:ascii="宋体" w:hAnsi="宋体"/>
          <w:sz w:val="24"/>
          <w:szCs w:val="24"/>
        </w:rPr>
      </w:pPr>
      <w:r>
        <w:rPr>
          <w:rFonts w:hint="eastAsia" w:ascii="宋体" w:hAnsi="宋体"/>
          <w:sz w:val="24"/>
          <w:szCs w:val="24"/>
        </w:rPr>
        <w:t>8.7</w:t>
      </w:r>
      <w:r>
        <w:rPr>
          <w:rFonts w:hint="eastAsia" w:ascii="宋体" w:hAnsi="宋体"/>
          <w:sz w:val="24"/>
          <w:szCs w:val="24"/>
          <w:lang w:eastAsia="zh-CN"/>
        </w:rPr>
        <w:t>发包人</w:t>
      </w:r>
      <w:r>
        <w:rPr>
          <w:rFonts w:hint="eastAsia" w:ascii="宋体" w:hAnsi="宋体"/>
          <w:sz w:val="24"/>
          <w:szCs w:val="24"/>
        </w:rPr>
        <w:t>定期或不定期检查项目工作进展，当项目不能正常运作时，</w:t>
      </w:r>
      <w:r>
        <w:rPr>
          <w:rFonts w:hint="eastAsia" w:ascii="宋体" w:hAnsi="宋体"/>
          <w:sz w:val="24"/>
          <w:szCs w:val="24"/>
          <w:lang w:eastAsia="zh-CN"/>
        </w:rPr>
        <w:t>发包人</w:t>
      </w:r>
      <w:r>
        <w:rPr>
          <w:rFonts w:hint="eastAsia" w:ascii="宋体" w:hAnsi="宋体"/>
          <w:sz w:val="24"/>
          <w:szCs w:val="24"/>
        </w:rPr>
        <w:t>可提出口头及书面警告，如仍无实质性改进，</w:t>
      </w:r>
      <w:r>
        <w:rPr>
          <w:rFonts w:hint="eastAsia" w:ascii="宋体" w:hAnsi="宋体"/>
          <w:sz w:val="24"/>
          <w:szCs w:val="24"/>
          <w:lang w:eastAsia="zh-CN"/>
        </w:rPr>
        <w:t>发包人</w:t>
      </w:r>
      <w:r>
        <w:rPr>
          <w:rFonts w:hint="eastAsia" w:ascii="宋体" w:hAnsi="宋体"/>
          <w:sz w:val="24"/>
          <w:szCs w:val="24"/>
        </w:rPr>
        <w:t>有权终止合同。</w:t>
      </w:r>
    </w:p>
    <w:p>
      <w:pPr>
        <w:spacing w:beforeLines="30" w:line="440" w:lineRule="exact"/>
        <w:ind w:firstLine="480" w:firstLineChars="200"/>
        <w:jc w:val="left"/>
        <w:rPr>
          <w:rFonts w:ascii="宋体" w:hAnsi="宋体"/>
          <w:sz w:val="24"/>
          <w:szCs w:val="24"/>
        </w:rPr>
      </w:pPr>
      <w:r>
        <w:rPr>
          <w:rFonts w:hint="eastAsia" w:ascii="宋体" w:hAnsi="宋体"/>
          <w:sz w:val="24"/>
          <w:szCs w:val="24"/>
        </w:rPr>
        <w:t>8.8施工影响范围内的监测对象发生严重变形、失稳，甚至坍塌等险情（事故）前，监测单位未及时向</w:t>
      </w:r>
      <w:r>
        <w:rPr>
          <w:rFonts w:hint="eastAsia" w:ascii="宋体" w:hAnsi="宋体"/>
          <w:sz w:val="24"/>
          <w:szCs w:val="24"/>
          <w:lang w:eastAsia="zh-CN"/>
        </w:rPr>
        <w:t>发包人</w:t>
      </w:r>
      <w:r>
        <w:rPr>
          <w:rFonts w:hint="eastAsia" w:ascii="宋体" w:hAnsi="宋体"/>
          <w:sz w:val="24"/>
          <w:szCs w:val="24"/>
        </w:rPr>
        <w:t>发出险情（预警）通知，按合同履约不到位处理，</w:t>
      </w:r>
      <w:r>
        <w:rPr>
          <w:rFonts w:hint="eastAsia" w:ascii="宋体" w:hAnsi="宋体"/>
          <w:sz w:val="24"/>
          <w:szCs w:val="24"/>
          <w:lang w:eastAsia="zh-CN"/>
        </w:rPr>
        <w:t>承包人</w:t>
      </w:r>
      <w:r>
        <w:rPr>
          <w:rFonts w:hint="eastAsia" w:ascii="宋体" w:hAnsi="宋体"/>
          <w:sz w:val="24"/>
          <w:szCs w:val="24"/>
        </w:rPr>
        <w:t>除须无偿采取补救措施外，还应减收或免收受损失部分的工程监测费。同时，</w:t>
      </w:r>
      <w:r>
        <w:rPr>
          <w:rFonts w:hint="eastAsia" w:ascii="宋体" w:hAnsi="宋体"/>
          <w:sz w:val="24"/>
          <w:szCs w:val="24"/>
          <w:lang w:eastAsia="zh-CN"/>
        </w:rPr>
        <w:t>发包人</w:t>
      </w:r>
      <w:r>
        <w:rPr>
          <w:rFonts w:hint="eastAsia" w:ascii="宋体" w:hAnsi="宋体"/>
          <w:sz w:val="24"/>
          <w:szCs w:val="24"/>
        </w:rPr>
        <w:t>有权根据工程损失程度对</w:t>
      </w:r>
      <w:r>
        <w:rPr>
          <w:rFonts w:hint="eastAsia" w:ascii="宋体" w:hAnsi="宋体"/>
          <w:sz w:val="24"/>
          <w:szCs w:val="24"/>
          <w:lang w:eastAsia="zh-CN"/>
        </w:rPr>
        <w:t>承包人</w:t>
      </w:r>
      <w:r>
        <w:rPr>
          <w:rFonts w:hint="eastAsia" w:ascii="宋体" w:hAnsi="宋体"/>
          <w:sz w:val="24"/>
          <w:szCs w:val="24"/>
        </w:rPr>
        <w:t>处于5000-20000元/次处罚，并进行书面通报批评处理。若</w:t>
      </w:r>
      <w:r>
        <w:rPr>
          <w:rFonts w:hint="eastAsia" w:ascii="宋体" w:hAnsi="宋体"/>
          <w:sz w:val="24"/>
          <w:szCs w:val="24"/>
          <w:lang w:eastAsia="zh-CN"/>
        </w:rPr>
        <w:t>承包人</w:t>
      </w:r>
      <w:r>
        <w:rPr>
          <w:rFonts w:hint="eastAsia" w:ascii="宋体" w:hAnsi="宋体"/>
          <w:sz w:val="24"/>
          <w:szCs w:val="24"/>
        </w:rPr>
        <w:t>在险情发生前未预警或预警不及时导致工程出现严重安全质量事故，</w:t>
      </w:r>
      <w:r>
        <w:rPr>
          <w:rFonts w:hint="eastAsia" w:ascii="宋体" w:hAnsi="宋体"/>
          <w:sz w:val="24"/>
          <w:szCs w:val="24"/>
          <w:lang w:eastAsia="zh-CN"/>
        </w:rPr>
        <w:t>承包人</w:t>
      </w:r>
      <w:r>
        <w:rPr>
          <w:rFonts w:hint="eastAsia" w:ascii="宋体" w:hAnsi="宋体"/>
          <w:sz w:val="24"/>
          <w:szCs w:val="24"/>
        </w:rPr>
        <w:t>应承担由此所造成的全部损失。</w:t>
      </w:r>
    </w:p>
    <w:p>
      <w:pPr>
        <w:spacing w:beforeLines="30" w:line="440" w:lineRule="exact"/>
        <w:ind w:firstLine="480" w:firstLineChars="200"/>
        <w:jc w:val="left"/>
        <w:rPr>
          <w:rFonts w:ascii="宋体" w:hAnsi="宋体"/>
          <w:sz w:val="24"/>
          <w:szCs w:val="24"/>
        </w:rPr>
      </w:pPr>
      <w:r>
        <w:rPr>
          <w:rFonts w:hint="eastAsia" w:ascii="宋体" w:hAnsi="宋体"/>
          <w:sz w:val="24"/>
          <w:szCs w:val="24"/>
        </w:rPr>
        <w:t>8.9如</w:t>
      </w:r>
      <w:r>
        <w:rPr>
          <w:rFonts w:hint="eastAsia" w:ascii="宋体" w:hAnsi="宋体"/>
          <w:sz w:val="24"/>
          <w:szCs w:val="24"/>
          <w:lang w:eastAsia="zh-CN"/>
        </w:rPr>
        <w:t>承包人</w:t>
      </w:r>
      <w:r>
        <w:rPr>
          <w:rFonts w:hint="eastAsia" w:ascii="宋体" w:hAnsi="宋体"/>
          <w:sz w:val="24"/>
          <w:szCs w:val="24"/>
        </w:rPr>
        <w:t>未按投标时承诺一致的主要管理、技术人员到位时，</w:t>
      </w:r>
      <w:r>
        <w:rPr>
          <w:rFonts w:hint="eastAsia" w:ascii="宋体" w:hAnsi="宋体"/>
          <w:sz w:val="24"/>
          <w:szCs w:val="24"/>
          <w:lang w:eastAsia="zh-CN"/>
        </w:rPr>
        <w:t>发包人</w:t>
      </w:r>
      <w:r>
        <w:rPr>
          <w:rFonts w:hint="eastAsia" w:ascii="宋体" w:hAnsi="宋体"/>
          <w:sz w:val="24"/>
          <w:szCs w:val="24"/>
        </w:rPr>
        <w:t>将按以下标准扣除</w:t>
      </w:r>
      <w:r>
        <w:rPr>
          <w:rFonts w:hint="eastAsia" w:ascii="宋体" w:hAnsi="宋体"/>
          <w:sz w:val="24"/>
          <w:szCs w:val="24"/>
          <w:lang w:eastAsia="zh-CN"/>
        </w:rPr>
        <w:t>承包人</w:t>
      </w:r>
      <w:r>
        <w:rPr>
          <w:rFonts w:hint="eastAsia" w:ascii="宋体" w:hAnsi="宋体"/>
          <w:sz w:val="24"/>
          <w:szCs w:val="24"/>
        </w:rPr>
        <w:t>违约金：项目负责人、技术负责人缺位的，每一天扣减人民币10000元；一般工程技术人员缺位的，每一天扣减人民币5000元。如造成</w:t>
      </w:r>
      <w:r>
        <w:rPr>
          <w:rFonts w:hint="eastAsia" w:ascii="宋体" w:hAnsi="宋体"/>
          <w:sz w:val="24"/>
          <w:szCs w:val="24"/>
          <w:lang w:eastAsia="zh-CN"/>
        </w:rPr>
        <w:t>发包人</w:t>
      </w:r>
      <w:r>
        <w:rPr>
          <w:rFonts w:hint="eastAsia" w:ascii="宋体" w:hAnsi="宋体"/>
          <w:sz w:val="24"/>
          <w:szCs w:val="24"/>
        </w:rPr>
        <w:t>损失的，由</w:t>
      </w:r>
      <w:r>
        <w:rPr>
          <w:rFonts w:hint="eastAsia" w:ascii="宋体" w:hAnsi="宋体"/>
          <w:sz w:val="24"/>
          <w:szCs w:val="24"/>
          <w:lang w:eastAsia="zh-CN"/>
        </w:rPr>
        <w:t>承包人</w:t>
      </w:r>
      <w:r>
        <w:rPr>
          <w:rFonts w:hint="eastAsia" w:ascii="宋体" w:hAnsi="宋体"/>
          <w:sz w:val="24"/>
          <w:szCs w:val="24"/>
        </w:rPr>
        <w:t>负责赔偿相关损失。</w:t>
      </w:r>
    </w:p>
    <w:p>
      <w:pPr>
        <w:spacing w:beforeLines="30" w:line="440" w:lineRule="exact"/>
        <w:ind w:firstLine="480" w:firstLineChars="200"/>
        <w:jc w:val="left"/>
        <w:rPr>
          <w:rFonts w:ascii="宋体" w:hAnsi="宋体"/>
          <w:sz w:val="24"/>
          <w:szCs w:val="24"/>
        </w:rPr>
      </w:pPr>
      <w:r>
        <w:rPr>
          <w:rFonts w:hint="eastAsia" w:ascii="宋体" w:hAnsi="宋体"/>
          <w:sz w:val="24"/>
          <w:szCs w:val="24"/>
        </w:rPr>
        <w:t>8.10</w:t>
      </w:r>
      <w:r>
        <w:rPr>
          <w:rFonts w:hint="eastAsia" w:ascii="宋体" w:hAnsi="宋体"/>
          <w:sz w:val="24"/>
          <w:szCs w:val="24"/>
          <w:lang w:eastAsia="zh-CN"/>
        </w:rPr>
        <w:t>承包人</w:t>
      </w:r>
      <w:r>
        <w:rPr>
          <w:rFonts w:hint="eastAsia" w:ascii="宋体" w:hAnsi="宋体"/>
          <w:sz w:val="24"/>
          <w:szCs w:val="24"/>
        </w:rPr>
        <w:t>项目机构的人员必须与投标文件承诺的人员完全一致，若</w:t>
      </w:r>
      <w:r>
        <w:rPr>
          <w:rFonts w:hint="eastAsia" w:ascii="宋体" w:hAnsi="宋体"/>
          <w:sz w:val="24"/>
          <w:szCs w:val="24"/>
          <w:lang w:eastAsia="zh-CN"/>
        </w:rPr>
        <w:t>承包人</w:t>
      </w:r>
      <w:r>
        <w:rPr>
          <w:rFonts w:hint="eastAsia" w:ascii="宋体" w:hAnsi="宋体"/>
          <w:sz w:val="24"/>
          <w:szCs w:val="24"/>
        </w:rPr>
        <w:t>未经</w:t>
      </w:r>
      <w:r>
        <w:rPr>
          <w:rFonts w:hint="eastAsia" w:ascii="宋体" w:hAnsi="宋体"/>
          <w:sz w:val="24"/>
          <w:szCs w:val="24"/>
          <w:lang w:eastAsia="zh-CN"/>
        </w:rPr>
        <w:t>发包人</w:t>
      </w:r>
      <w:r>
        <w:rPr>
          <w:rFonts w:hint="eastAsia" w:ascii="宋体" w:hAnsi="宋体"/>
          <w:sz w:val="24"/>
          <w:szCs w:val="24"/>
        </w:rPr>
        <w:t>同意擅自更换按照项目负责人10万元/人次，技术负责人5万元/人次，专业测量工程师2万元/人次的标准扣罚违约金。所有进场人员必须经业主组织的履约能力考评后才能上岗，三个月试用期后正式上岗。若经业主考评不合格，按项目负责人10万元/人次、技术负责人5万元/人次、专业测量工程师2万元/人次的标准扣罚违约金。监测及测量项目机构主要管理、技术负责人应当长驻现场，不得随意更换，若经业主发现一次未驻现场办公的，罚5000元人/次。</w:t>
      </w:r>
    </w:p>
    <w:p>
      <w:pPr>
        <w:spacing w:beforeLines="30" w:line="440" w:lineRule="exact"/>
        <w:ind w:firstLine="480" w:firstLineChars="200"/>
        <w:jc w:val="left"/>
        <w:rPr>
          <w:rFonts w:ascii="宋体" w:hAnsi="宋体"/>
          <w:sz w:val="24"/>
          <w:szCs w:val="24"/>
        </w:rPr>
      </w:pPr>
      <w:r>
        <w:rPr>
          <w:rFonts w:hint="eastAsia" w:ascii="宋体" w:hAnsi="宋体"/>
          <w:sz w:val="24"/>
          <w:szCs w:val="24"/>
        </w:rPr>
        <w:t>8.11</w:t>
      </w:r>
      <w:r>
        <w:rPr>
          <w:rFonts w:hint="eastAsia" w:ascii="宋体" w:hAnsi="宋体"/>
          <w:sz w:val="24"/>
          <w:szCs w:val="24"/>
          <w:lang w:eastAsia="zh-CN"/>
        </w:rPr>
        <w:t>承包人</w:t>
      </w:r>
      <w:r>
        <w:rPr>
          <w:rFonts w:hint="eastAsia" w:ascii="宋体" w:hAnsi="宋体"/>
          <w:sz w:val="24"/>
          <w:szCs w:val="24"/>
        </w:rPr>
        <w:t>未按技术要求进行监测而不能满足业主需要时，</w:t>
      </w:r>
      <w:r>
        <w:rPr>
          <w:rFonts w:hint="eastAsia" w:ascii="宋体" w:hAnsi="宋体"/>
          <w:sz w:val="24"/>
          <w:szCs w:val="24"/>
          <w:lang w:eastAsia="zh-CN"/>
        </w:rPr>
        <w:t>发包人</w:t>
      </w:r>
      <w:r>
        <w:rPr>
          <w:rFonts w:hint="eastAsia" w:ascii="宋体" w:hAnsi="宋体"/>
          <w:sz w:val="24"/>
          <w:szCs w:val="24"/>
        </w:rPr>
        <w:t>有权扣减监测费用或终止合同。</w:t>
      </w:r>
    </w:p>
    <w:p>
      <w:pPr>
        <w:spacing w:beforeLines="30" w:line="440" w:lineRule="exact"/>
        <w:ind w:firstLine="480" w:firstLineChars="200"/>
        <w:jc w:val="left"/>
        <w:rPr>
          <w:rFonts w:ascii="宋体" w:hAnsi="宋体"/>
          <w:sz w:val="24"/>
          <w:szCs w:val="24"/>
        </w:rPr>
      </w:pPr>
      <w:r>
        <w:rPr>
          <w:rFonts w:hint="eastAsia" w:ascii="宋体" w:hAnsi="宋体"/>
          <w:sz w:val="24"/>
          <w:szCs w:val="24"/>
        </w:rPr>
        <w:t>8.12</w:t>
      </w:r>
      <w:r>
        <w:rPr>
          <w:rFonts w:hint="eastAsia" w:ascii="宋体" w:hAnsi="宋体"/>
          <w:sz w:val="24"/>
          <w:szCs w:val="24"/>
          <w:lang w:eastAsia="zh-CN"/>
        </w:rPr>
        <w:t>承包人</w:t>
      </w:r>
      <w:r>
        <w:rPr>
          <w:rFonts w:hint="eastAsia" w:ascii="宋体" w:hAnsi="宋体"/>
          <w:sz w:val="24"/>
          <w:szCs w:val="24"/>
        </w:rPr>
        <w:t>应保证提供真实可靠的监测资料，若违反规定出现虚假监测数据、监测分析结论严重失实的，按合同履约不到位处理，</w:t>
      </w:r>
      <w:r>
        <w:rPr>
          <w:rFonts w:hint="eastAsia" w:ascii="宋体" w:hAnsi="宋体"/>
          <w:sz w:val="24"/>
          <w:szCs w:val="24"/>
          <w:lang w:eastAsia="zh-CN"/>
        </w:rPr>
        <w:t>发包人</w:t>
      </w:r>
      <w:r>
        <w:rPr>
          <w:rFonts w:hint="eastAsia" w:ascii="宋体" w:hAnsi="宋体"/>
          <w:sz w:val="24"/>
          <w:szCs w:val="24"/>
        </w:rPr>
        <w:t>将处于</w:t>
      </w:r>
      <w:r>
        <w:rPr>
          <w:rFonts w:hint="eastAsia" w:ascii="宋体" w:hAnsi="宋体"/>
          <w:sz w:val="24"/>
          <w:szCs w:val="24"/>
          <w:lang w:eastAsia="zh-CN"/>
        </w:rPr>
        <w:t>承包人</w:t>
      </w:r>
      <w:r>
        <w:rPr>
          <w:rFonts w:hint="eastAsia" w:ascii="宋体" w:hAnsi="宋体"/>
          <w:sz w:val="24"/>
          <w:szCs w:val="24"/>
        </w:rPr>
        <w:t>5000-10000元/次罚款，造成</w:t>
      </w:r>
      <w:r>
        <w:rPr>
          <w:rFonts w:hint="eastAsia" w:ascii="宋体" w:hAnsi="宋体"/>
          <w:sz w:val="24"/>
          <w:szCs w:val="24"/>
          <w:lang w:eastAsia="zh-CN"/>
        </w:rPr>
        <w:t>发包人</w:t>
      </w:r>
      <w:r>
        <w:rPr>
          <w:rFonts w:hint="eastAsia" w:ascii="宋体" w:hAnsi="宋体"/>
          <w:sz w:val="24"/>
          <w:szCs w:val="24"/>
        </w:rPr>
        <w:t>损失的，由</w:t>
      </w:r>
      <w:r>
        <w:rPr>
          <w:rFonts w:hint="eastAsia" w:ascii="宋体" w:hAnsi="宋体"/>
          <w:sz w:val="24"/>
          <w:szCs w:val="24"/>
          <w:lang w:eastAsia="zh-CN"/>
        </w:rPr>
        <w:t>承包人</w:t>
      </w:r>
      <w:r>
        <w:rPr>
          <w:rFonts w:hint="eastAsia" w:ascii="宋体" w:hAnsi="宋体"/>
          <w:sz w:val="24"/>
          <w:szCs w:val="24"/>
        </w:rPr>
        <w:t>负责赔偿相关损失。若</w:t>
      </w:r>
      <w:r>
        <w:rPr>
          <w:rFonts w:hint="eastAsia" w:ascii="宋体" w:hAnsi="宋体"/>
          <w:sz w:val="24"/>
          <w:szCs w:val="24"/>
          <w:lang w:eastAsia="zh-CN"/>
        </w:rPr>
        <w:t>承包人</w:t>
      </w:r>
      <w:r>
        <w:rPr>
          <w:rFonts w:hint="eastAsia" w:ascii="宋体" w:hAnsi="宋体"/>
          <w:sz w:val="24"/>
          <w:szCs w:val="24"/>
        </w:rPr>
        <w:t>不改正，</w:t>
      </w:r>
      <w:r>
        <w:rPr>
          <w:rFonts w:hint="eastAsia" w:ascii="宋体" w:hAnsi="宋体"/>
          <w:sz w:val="24"/>
          <w:szCs w:val="24"/>
          <w:lang w:eastAsia="zh-CN"/>
        </w:rPr>
        <w:t>发包人</w:t>
      </w:r>
      <w:r>
        <w:rPr>
          <w:rFonts w:hint="eastAsia" w:ascii="宋体" w:hAnsi="宋体"/>
          <w:sz w:val="24"/>
          <w:szCs w:val="24"/>
        </w:rPr>
        <w:t>可终止合同关系并追究相关责任。</w:t>
      </w:r>
    </w:p>
    <w:p>
      <w:pPr>
        <w:spacing w:beforeLines="30" w:line="440" w:lineRule="exact"/>
        <w:ind w:firstLine="480" w:firstLineChars="200"/>
        <w:jc w:val="left"/>
        <w:rPr>
          <w:rFonts w:ascii="宋体" w:hAnsi="宋体"/>
          <w:sz w:val="24"/>
          <w:szCs w:val="24"/>
        </w:rPr>
      </w:pPr>
      <w:r>
        <w:rPr>
          <w:rFonts w:hint="eastAsia" w:ascii="宋体" w:hAnsi="宋体"/>
          <w:sz w:val="24"/>
          <w:szCs w:val="24"/>
        </w:rPr>
        <w:t>8.13</w:t>
      </w:r>
      <w:r>
        <w:rPr>
          <w:rFonts w:hint="eastAsia" w:ascii="宋体" w:hAnsi="宋体"/>
          <w:sz w:val="24"/>
          <w:szCs w:val="24"/>
          <w:lang w:eastAsia="zh-CN"/>
        </w:rPr>
        <w:t>承包人</w:t>
      </w:r>
      <w:r>
        <w:rPr>
          <w:rFonts w:hint="eastAsia" w:ascii="宋体" w:hAnsi="宋体"/>
          <w:sz w:val="24"/>
          <w:szCs w:val="24"/>
        </w:rPr>
        <w:t>应安排专人将即时监测数据在每天规定时间内（一般采集后8小时内）通过邮件发送给</w:t>
      </w:r>
      <w:r>
        <w:rPr>
          <w:rFonts w:hint="eastAsia" w:ascii="宋体" w:hAnsi="宋体"/>
          <w:sz w:val="24"/>
          <w:szCs w:val="24"/>
          <w:lang w:eastAsia="zh-CN"/>
        </w:rPr>
        <w:t>发包人</w:t>
      </w:r>
      <w:r>
        <w:rPr>
          <w:rFonts w:hint="eastAsia" w:ascii="宋体" w:hAnsi="宋体"/>
          <w:sz w:val="24"/>
          <w:szCs w:val="24"/>
        </w:rPr>
        <w:t>项目负责人（若达到或超过预警值的，</w:t>
      </w:r>
      <w:r>
        <w:rPr>
          <w:rFonts w:hint="eastAsia" w:ascii="宋体" w:hAnsi="宋体"/>
          <w:sz w:val="24"/>
          <w:szCs w:val="24"/>
          <w:lang w:eastAsia="zh-CN"/>
        </w:rPr>
        <w:t>承包人</w:t>
      </w:r>
      <w:r>
        <w:rPr>
          <w:rFonts w:hint="eastAsia" w:ascii="宋体" w:hAnsi="宋体"/>
          <w:sz w:val="24"/>
          <w:szCs w:val="24"/>
        </w:rPr>
        <w:t>应第一时间电话通知</w:t>
      </w:r>
      <w:r>
        <w:rPr>
          <w:rFonts w:hint="eastAsia" w:ascii="宋体" w:hAnsi="宋体"/>
          <w:sz w:val="24"/>
          <w:szCs w:val="24"/>
          <w:lang w:eastAsia="zh-CN"/>
        </w:rPr>
        <w:t>发包人</w:t>
      </w:r>
      <w:r>
        <w:rPr>
          <w:rFonts w:hint="eastAsia" w:ascii="宋体" w:hAnsi="宋体"/>
          <w:sz w:val="24"/>
          <w:szCs w:val="24"/>
        </w:rPr>
        <w:t>项目负责人，并在一小时内提供相应监测报告。），正式书面监测报告应及时（次日上午提交日报，次周第一个工作日提交周报）提交</w:t>
      </w:r>
      <w:r>
        <w:rPr>
          <w:rFonts w:hint="eastAsia" w:ascii="宋体" w:hAnsi="宋体"/>
          <w:sz w:val="24"/>
          <w:szCs w:val="24"/>
          <w:lang w:eastAsia="zh-CN"/>
        </w:rPr>
        <w:t>发包人</w:t>
      </w:r>
      <w:r>
        <w:rPr>
          <w:rFonts w:hint="eastAsia" w:ascii="宋体" w:hAnsi="宋体"/>
          <w:sz w:val="24"/>
          <w:szCs w:val="24"/>
        </w:rPr>
        <w:t>相应部门，未及时上传数据或未及时提交监测报告，按500元/次扣罚违约金，并承担由此给</w:t>
      </w:r>
      <w:r>
        <w:rPr>
          <w:rFonts w:hint="eastAsia" w:ascii="宋体" w:hAnsi="宋体"/>
          <w:sz w:val="24"/>
          <w:szCs w:val="24"/>
          <w:lang w:eastAsia="zh-CN"/>
        </w:rPr>
        <w:t>发包人</w:t>
      </w:r>
      <w:r>
        <w:rPr>
          <w:rFonts w:hint="eastAsia" w:ascii="宋体" w:hAnsi="宋体"/>
          <w:sz w:val="24"/>
          <w:szCs w:val="24"/>
        </w:rPr>
        <w:t>造成的一切损失。</w:t>
      </w:r>
    </w:p>
    <w:p>
      <w:pPr>
        <w:spacing w:beforeLines="30" w:line="440" w:lineRule="exact"/>
        <w:ind w:firstLine="480" w:firstLineChars="200"/>
        <w:jc w:val="left"/>
        <w:rPr>
          <w:rFonts w:ascii="宋体" w:hAnsi="宋体"/>
          <w:sz w:val="24"/>
          <w:szCs w:val="24"/>
        </w:rPr>
      </w:pPr>
      <w:r>
        <w:rPr>
          <w:rFonts w:hint="eastAsia" w:ascii="宋体" w:hAnsi="宋体"/>
          <w:sz w:val="24"/>
          <w:szCs w:val="24"/>
        </w:rPr>
        <w:t>8.14</w:t>
      </w:r>
      <w:r>
        <w:rPr>
          <w:rFonts w:hint="eastAsia" w:ascii="宋体" w:hAnsi="宋体"/>
          <w:sz w:val="24"/>
          <w:szCs w:val="24"/>
          <w:lang w:eastAsia="zh-CN"/>
        </w:rPr>
        <w:t>承包人</w:t>
      </w:r>
      <w:r>
        <w:rPr>
          <w:rFonts w:hint="eastAsia" w:ascii="宋体" w:hAnsi="宋体"/>
          <w:sz w:val="24"/>
          <w:szCs w:val="24"/>
        </w:rPr>
        <w:t>未按规定时间提交监测及测量成果时，每超过一日，扣减5000元违约金。造成</w:t>
      </w:r>
      <w:r>
        <w:rPr>
          <w:rFonts w:hint="eastAsia" w:ascii="宋体" w:hAnsi="宋体"/>
          <w:sz w:val="24"/>
          <w:szCs w:val="24"/>
          <w:lang w:eastAsia="zh-CN"/>
        </w:rPr>
        <w:t>发包人</w:t>
      </w:r>
      <w:r>
        <w:rPr>
          <w:rFonts w:hint="eastAsia" w:ascii="宋体" w:hAnsi="宋体"/>
          <w:sz w:val="24"/>
          <w:szCs w:val="24"/>
        </w:rPr>
        <w:t>损失的，由</w:t>
      </w:r>
      <w:r>
        <w:rPr>
          <w:rFonts w:hint="eastAsia" w:ascii="宋体" w:hAnsi="宋体"/>
          <w:sz w:val="24"/>
          <w:szCs w:val="24"/>
          <w:lang w:eastAsia="zh-CN"/>
        </w:rPr>
        <w:t>承包人</w:t>
      </w:r>
      <w:r>
        <w:rPr>
          <w:rFonts w:hint="eastAsia" w:ascii="宋体" w:hAnsi="宋体"/>
          <w:sz w:val="24"/>
          <w:szCs w:val="24"/>
        </w:rPr>
        <w:t>负责赔偿相关损失。若</w:t>
      </w:r>
      <w:r>
        <w:rPr>
          <w:rFonts w:hint="eastAsia" w:ascii="宋体" w:hAnsi="宋体"/>
          <w:sz w:val="24"/>
          <w:szCs w:val="24"/>
          <w:lang w:eastAsia="zh-CN"/>
        </w:rPr>
        <w:t>承包人</w:t>
      </w:r>
      <w:r>
        <w:rPr>
          <w:rFonts w:hint="eastAsia" w:ascii="宋体" w:hAnsi="宋体"/>
          <w:sz w:val="24"/>
          <w:szCs w:val="24"/>
        </w:rPr>
        <w:t>不改正，</w:t>
      </w:r>
      <w:r>
        <w:rPr>
          <w:rFonts w:hint="eastAsia" w:ascii="宋体" w:hAnsi="宋体"/>
          <w:sz w:val="24"/>
          <w:szCs w:val="24"/>
          <w:lang w:eastAsia="zh-CN"/>
        </w:rPr>
        <w:t>发包人</w:t>
      </w:r>
      <w:r>
        <w:rPr>
          <w:rFonts w:hint="eastAsia" w:ascii="宋体" w:hAnsi="宋体"/>
          <w:sz w:val="24"/>
          <w:szCs w:val="24"/>
        </w:rPr>
        <w:t>可终止合同关系并追究相关责任。</w:t>
      </w:r>
    </w:p>
    <w:p>
      <w:pPr>
        <w:spacing w:beforeLines="30" w:line="440" w:lineRule="exact"/>
        <w:ind w:firstLine="480" w:firstLineChars="200"/>
        <w:jc w:val="left"/>
        <w:rPr>
          <w:rFonts w:ascii="宋体" w:hAnsi="宋体"/>
          <w:sz w:val="24"/>
          <w:szCs w:val="24"/>
        </w:rPr>
      </w:pPr>
      <w:r>
        <w:rPr>
          <w:rFonts w:hint="eastAsia" w:ascii="宋体" w:hAnsi="宋体"/>
          <w:sz w:val="24"/>
          <w:szCs w:val="24"/>
        </w:rPr>
        <w:t>第九条  不可抗力因素下的合同履行</w:t>
      </w:r>
    </w:p>
    <w:p>
      <w:pPr>
        <w:spacing w:beforeLines="30" w:line="440" w:lineRule="exact"/>
        <w:ind w:firstLine="480" w:firstLineChars="200"/>
        <w:jc w:val="left"/>
        <w:rPr>
          <w:rFonts w:ascii="宋体" w:hAnsi="宋体"/>
          <w:sz w:val="24"/>
          <w:szCs w:val="24"/>
        </w:rPr>
      </w:pPr>
      <w:r>
        <w:rPr>
          <w:rFonts w:hint="eastAsia" w:ascii="宋体" w:hAnsi="宋体"/>
          <w:sz w:val="24"/>
          <w:szCs w:val="24"/>
        </w:rPr>
        <w:t>如果发生了双方都无法控制的意外情况（如战争、自然灾荒等），致使本合同不能如期履行时，本合同应自动顺延履行，且双方不被视为违约，但双方应尽一切努力终止或减少上述因素的影响。上述因素一旦消失，双方应立即采取措施继续履行本合同，否则作违约论。</w:t>
      </w:r>
    </w:p>
    <w:p>
      <w:pPr>
        <w:spacing w:beforeLines="30" w:line="440" w:lineRule="exact"/>
        <w:ind w:firstLine="480" w:firstLineChars="200"/>
        <w:jc w:val="left"/>
        <w:rPr>
          <w:rFonts w:ascii="宋体" w:hAnsi="宋体"/>
          <w:sz w:val="24"/>
          <w:szCs w:val="24"/>
        </w:rPr>
      </w:pPr>
      <w:r>
        <w:rPr>
          <w:rFonts w:hint="eastAsia" w:ascii="宋体" w:hAnsi="宋体"/>
          <w:sz w:val="24"/>
          <w:szCs w:val="24"/>
        </w:rPr>
        <w:t>第十条  绩效考核评价（履约评价）及约定</w:t>
      </w:r>
    </w:p>
    <w:p>
      <w:pPr>
        <w:spacing w:beforeLines="30" w:line="440" w:lineRule="exact"/>
        <w:ind w:firstLine="480" w:firstLineChars="200"/>
        <w:jc w:val="left"/>
        <w:rPr>
          <w:rFonts w:ascii="宋体" w:hAnsi="宋体"/>
          <w:sz w:val="24"/>
          <w:szCs w:val="24"/>
        </w:rPr>
      </w:pPr>
      <w:r>
        <w:rPr>
          <w:rFonts w:hint="eastAsia" w:ascii="宋体" w:hAnsi="宋体"/>
          <w:sz w:val="24"/>
          <w:szCs w:val="24"/>
          <w:lang w:eastAsia="zh-CN"/>
        </w:rPr>
        <w:t>发包人</w:t>
      </w:r>
      <w:r>
        <w:rPr>
          <w:rFonts w:hint="eastAsia" w:ascii="宋体" w:hAnsi="宋体"/>
          <w:sz w:val="24"/>
          <w:szCs w:val="24"/>
        </w:rPr>
        <w:t>定期对</w:t>
      </w:r>
      <w:r>
        <w:rPr>
          <w:rFonts w:hint="eastAsia" w:ascii="宋体" w:hAnsi="宋体"/>
          <w:sz w:val="24"/>
          <w:szCs w:val="24"/>
          <w:lang w:eastAsia="zh-CN"/>
        </w:rPr>
        <w:t>承包人</w:t>
      </w:r>
      <w:r>
        <w:rPr>
          <w:rFonts w:hint="eastAsia" w:ascii="宋体" w:hAnsi="宋体"/>
          <w:sz w:val="24"/>
          <w:szCs w:val="24"/>
        </w:rPr>
        <w:t>的合同履行情况进行绩效考核评价（履约评价）。</w:t>
      </w:r>
      <w:r>
        <w:rPr>
          <w:rFonts w:hint="eastAsia" w:ascii="宋体" w:hAnsi="宋体"/>
          <w:sz w:val="24"/>
          <w:szCs w:val="24"/>
          <w:lang w:eastAsia="zh-CN"/>
        </w:rPr>
        <w:t>发包人</w:t>
      </w:r>
      <w:r>
        <w:rPr>
          <w:rFonts w:hint="eastAsia" w:ascii="宋体" w:hAnsi="宋体"/>
          <w:sz w:val="24"/>
          <w:szCs w:val="24"/>
        </w:rPr>
        <w:t>将按建设主管部门及</w:t>
      </w:r>
      <w:r>
        <w:rPr>
          <w:rFonts w:hint="eastAsia" w:ascii="宋体" w:hAnsi="宋体"/>
          <w:sz w:val="24"/>
          <w:szCs w:val="24"/>
          <w:lang w:eastAsia="zh-CN"/>
        </w:rPr>
        <w:t>发包人</w:t>
      </w:r>
      <w:r>
        <w:rPr>
          <w:rFonts w:hint="eastAsia" w:ascii="宋体" w:hAnsi="宋体"/>
          <w:sz w:val="24"/>
          <w:szCs w:val="24"/>
        </w:rPr>
        <w:t>的相关管理规定执行。</w:t>
      </w:r>
      <w:r>
        <w:rPr>
          <w:rFonts w:hint="eastAsia" w:ascii="宋体" w:hAnsi="宋体"/>
          <w:sz w:val="24"/>
          <w:szCs w:val="24"/>
          <w:lang w:eastAsia="zh-CN"/>
        </w:rPr>
        <w:t>承包人</w:t>
      </w:r>
      <w:r>
        <w:rPr>
          <w:rFonts w:hint="eastAsia" w:ascii="宋体" w:hAnsi="宋体"/>
          <w:sz w:val="24"/>
          <w:szCs w:val="24"/>
        </w:rPr>
        <w:t>应无条件接受建设主管部门及</w:t>
      </w:r>
      <w:r>
        <w:rPr>
          <w:rFonts w:hint="eastAsia" w:ascii="宋体" w:hAnsi="宋体"/>
          <w:sz w:val="24"/>
          <w:szCs w:val="24"/>
          <w:lang w:eastAsia="zh-CN"/>
        </w:rPr>
        <w:t>发包人</w:t>
      </w:r>
      <w:r>
        <w:rPr>
          <w:rFonts w:hint="eastAsia" w:ascii="宋体" w:hAnsi="宋体"/>
          <w:sz w:val="24"/>
          <w:szCs w:val="24"/>
        </w:rPr>
        <w:t>的绩效考核评价（履约评价）结果并满足</w:t>
      </w:r>
      <w:r>
        <w:rPr>
          <w:rFonts w:hint="eastAsia" w:ascii="宋体" w:hAnsi="宋体"/>
          <w:sz w:val="24"/>
          <w:szCs w:val="24"/>
          <w:lang w:eastAsia="zh-CN"/>
        </w:rPr>
        <w:t>发包人</w:t>
      </w:r>
      <w:r>
        <w:rPr>
          <w:rFonts w:hint="eastAsia" w:ascii="宋体" w:hAnsi="宋体"/>
          <w:sz w:val="24"/>
          <w:szCs w:val="24"/>
        </w:rPr>
        <w:t>的管理要求，否则视为</w:t>
      </w:r>
      <w:r>
        <w:rPr>
          <w:rFonts w:hint="eastAsia" w:ascii="宋体" w:hAnsi="宋体"/>
          <w:sz w:val="24"/>
          <w:szCs w:val="24"/>
          <w:lang w:eastAsia="zh-CN"/>
        </w:rPr>
        <w:t>承包人</w:t>
      </w:r>
      <w:r>
        <w:rPr>
          <w:rFonts w:hint="eastAsia" w:ascii="宋体" w:hAnsi="宋体"/>
          <w:sz w:val="24"/>
          <w:szCs w:val="24"/>
        </w:rPr>
        <w:t>违约。</w:t>
      </w:r>
      <w:r>
        <w:rPr>
          <w:rFonts w:hint="eastAsia" w:ascii="宋体" w:hAnsi="宋体"/>
          <w:sz w:val="24"/>
          <w:szCs w:val="24"/>
          <w:lang w:eastAsia="zh-CN"/>
        </w:rPr>
        <w:t>发包人</w:t>
      </w:r>
      <w:r>
        <w:rPr>
          <w:rFonts w:hint="eastAsia" w:ascii="宋体" w:hAnsi="宋体"/>
          <w:sz w:val="24"/>
          <w:szCs w:val="24"/>
        </w:rPr>
        <w:t>在本工程实施阶段制定的相关管理规定为本合同的组成部分，</w:t>
      </w:r>
      <w:r>
        <w:rPr>
          <w:rFonts w:hint="eastAsia" w:ascii="宋体" w:hAnsi="宋体"/>
          <w:sz w:val="24"/>
          <w:szCs w:val="24"/>
          <w:lang w:eastAsia="zh-CN"/>
        </w:rPr>
        <w:t>承包人</w:t>
      </w:r>
      <w:r>
        <w:rPr>
          <w:rFonts w:hint="eastAsia" w:ascii="宋体" w:hAnsi="宋体"/>
          <w:sz w:val="24"/>
          <w:szCs w:val="24"/>
        </w:rPr>
        <w:t>应无条件执行。</w:t>
      </w:r>
    </w:p>
    <w:p>
      <w:pPr>
        <w:spacing w:beforeLines="30" w:line="440" w:lineRule="exact"/>
        <w:ind w:firstLine="480" w:firstLineChars="200"/>
        <w:jc w:val="left"/>
        <w:rPr>
          <w:rFonts w:ascii="宋体" w:hAnsi="宋体"/>
          <w:sz w:val="24"/>
          <w:szCs w:val="24"/>
        </w:rPr>
      </w:pPr>
      <w:r>
        <w:rPr>
          <w:rFonts w:hint="eastAsia" w:ascii="宋体" w:hAnsi="宋体"/>
          <w:sz w:val="24"/>
          <w:szCs w:val="24"/>
        </w:rPr>
        <w:t>10.1</w:t>
      </w:r>
      <w:r>
        <w:rPr>
          <w:rFonts w:hint="eastAsia" w:ascii="宋体" w:hAnsi="宋体"/>
          <w:sz w:val="24"/>
          <w:szCs w:val="24"/>
          <w:lang w:eastAsia="zh-CN"/>
        </w:rPr>
        <w:t>发包人</w:t>
      </w:r>
      <w:r>
        <w:rPr>
          <w:rFonts w:hint="eastAsia" w:ascii="宋体" w:hAnsi="宋体"/>
          <w:sz w:val="24"/>
          <w:szCs w:val="24"/>
        </w:rPr>
        <w:t>定期对</w:t>
      </w:r>
      <w:r>
        <w:rPr>
          <w:rFonts w:hint="eastAsia" w:ascii="宋体" w:hAnsi="宋体"/>
          <w:sz w:val="24"/>
          <w:szCs w:val="24"/>
          <w:lang w:eastAsia="zh-CN"/>
        </w:rPr>
        <w:t>承包人</w:t>
      </w:r>
      <w:r>
        <w:rPr>
          <w:rFonts w:hint="eastAsia" w:ascii="宋体" w:hAnsi="宋体"/>
          <w:sz w:val="24"/>
          <w:szCs w:val="24"/>
        </w:rPr>
        <w:t>的合同履行情况进行履约评价，评价细则详见合同条款附件1《项目监测履约评价细则》。</w:t>
      </w:r>
      <w:r>
        <w:rPr>
          <w:rFonts w:hint="eastAsia" w:ascii="宋体" w:hAnsi="宋体"/>
          <w:sz w:val="24"/>
          <w:szCs w:val="24"/>
          <w:lang w:eastAsia="zh-CN"/>
        </w:rPr>
        <w:t>承包人</w:t>
      </w:r>
      <w:r>
        <w:rPr>
          <w:rFonts w:hint="eastAsia" w:ascii="宋体" w:hAnsi="宋体"/>
          <w:sz w:val="24"/>
          <w:szCs w:val="24"/>
        </w:rPr>
        <w:t>当期履约评价得分在90～100（含90）分为良好，得分在60～90（不含90）分为合格；得分在60分（不含60）以下为不合格。</w:t>
      </w:r>
    </w:p>
    <w:p>
      <w:pPr>
        <w:spacing w:beforeLines="30" w:line="440" w:lineRule="exact"/>
        <w:ind w:firstLine="480" w:firstLineChars="200"/>
        <w:jc w:val="left"/>
        <w:rPr>
          <w:rFonts w:ascii="宋体" w:hAnsi="宋体"/>
          <w:sz w:val="24"/>
          <w:szCs w:val="24"/>
        </w:rPr>
      </w:pPr>
      <w:r>
        <w:rPr>
          <w:rFonts w:hint="eastAsia" w:ascii="宋体" w:hAnsi="宋体"/>
          <w:sz w:val="24"/>
          <w:szCs w:val="24"/>
        </w:rPr>
        <w:t>10.2</w:t>
      </w:r>
      <w:r>
        <w:rPr>
          <w:rFonts w:hint="eastAsia" w:ascii="宋体" w:hAnsi="宋体"/>
          <w:sz w:val="24"/>
          <w:szCs w:val="24"/>
          <w:lang w:eastAsia="zh-CN"/>
        </w:rPr>
        <w:t>承包人</w:t>
      </w:r>
      <w:r>
        <w:rPr>
          <w:rFonts w:hint="eastAsia" w:ascii="宋体" w:hAnsi="宋体"/>
          <w:sz w:val="24"/>
          <w:szCs w:val="24"/>
        </w:rPr>
        <w:t>履约评价得分在60分以下的，履约不合格，</w:t>
      </w:r>
      <w:r>
        <w:rPr>
          <w:rFonts w:hint="eastAsia" w:ascii="宋体" w:hAnsi="宋体"/>
          <w:sz w:val="24"/>
          <w:szCs w:val="24"/>
          <w:lang w:eastAsia="zh-CN"/>
        </w:rPr>
        <w:t>发包人</w:t>
      </w:r>
      <w:r>
        <w:rPr>
          <w:rFonts w:hint="eastAsia" w:ascii="宋体" w:hAnsi="宋体"/>
          <w:sz w:val="24"/>
          <w:szCs w:val="24"/>
        </w:rPr>
        <w:t>将提请建设行政主管部门作不良行为记录；情节严重的，</w:t>
      </w:r>
      <w:r>
        <w:rPr>
          <w:rFonts w:hint="eastAsia" w:ascii="宋体" w:hAnsi="宋体"/>
          <w:sz w:val="24"/>
          <w:szCs w:val="24"/>
          <w:lang w:eastAsia="zh-CN"/>
        </w:rPr>
        <w:t>发包人</w:t>
      </w:r>
      <w:r>
        <w:rPr>
          <w:rFonts w:hint="eastAsia" w:ascii="宋体" w:hAnsi="宋体"/>
          <w:sz w:val="24"/>
          <w:szCs w:val="24"/>
        </w:rPr>
        <w:t>有权终止合同，由此造成的后果由</w:t>
      </w:r>
      <w:r>
        <w:rPr>
          <w:rFonts w:hint="eastAsia" w:ascii="宋体" w:hAnsi="宋体"/>
          <w:sz w:val="24"/>
          <w:szCs w:val="24"/>
          <w:lang w:eastAsia="zh-CN"/>
        </w:rPr>
        <w:t>承包人</w:t>
      </w:r>
      <w:r>
        <w:rPr>
          <w:rFonts w:hint="eastAsia" w:ascii="宋体" w:hAnsi="宋体"/>
          <w:sz w:val="24"/>
          <w:szCs w:val="24"/>
        </w:rPr>
        <w:t>承担。</w:t>
      </w:r>
    </w:p>
    <w:p>
      <w:pPr>
        <w:spacing w:beforeLines="30" w:line="440" w:lineRule="exact"/>
        <w:ind w:firstLine="480" w:firstLineChars="200"/>
        <w:jc w:val="left"/>
        <w:rPr>
          <w:rFonts w:ascii="宋体" w:hAnsi="宋体"/>
          <w:sz w:val="24"/>
          <w:szCs w:val="24"/>
        </w:rPr>
      </w:pPr>
      <w:r>
        <w:rPr>
          <w:rFonts w:hint="eastAsia" w:ascii="宋体" w:hAnsi="宋体"/>
          <w:sz w:val="24"/>
          <w:szCs w:val="24"/>
        </w:rPr>
        <w:t>10.3监测合同履约评分标准（详见附件1）</w:t>
      </w:r>
    </w:p>
    <w:p>
      <w:pPr>
        <w:spacing w:beforeLines="30" w:line="440" w:lineRule="exact"/>
        <w:ind w:firstLine="480" w:firstLineChars="200"/>
        <w:jc w:val="left"/>
        <w:rPr>
          <w:rFonts w:ascii="宋体" w:hAnsi="宋体"/>
          <w:sz w:val="24"/>
          <w:szCs w:val="24"/>
        </w:rPr>
      </w:pPr>
      <w:r>
        <w:rPr>
          <w:rFonts w:hint="eastAsia" w:ascii="宋体" w:hAnsi="宋体"/>
          <w:sz w:val="24"/>
          <w:szCs w:val="24"/>
        </w:rPr>
        <w:t>考评说明：</w:t>
      </w:r>
    </w:p>
    <w:p>
      <w:pPr>
        <w:spacing w:beforeLines="30" w:line="440" w:lineRule="exact"/>
        <w:ind w:firstLine="480" w:firstLineChars="200"/>
        <w:jc w:val="left"/>
        <w:rPr>
          <w:rFonts w:ascii="宋体" w:hAnsi="宋体"/>
          <w:sz w:val="24"/>
          <w:szCs w:val="24"/>
        </w:rPr>
      </w:pPr>
      <w:r>
        <w:rPr>
          <w:rFonts w:hint="eastAsia" w:ascii="宋体" w:hAnsi="宋体"/>
          <w:sz w:val="24"/>
          <w:szCs w:val="24"/>
        </w:rPr>
        <w:t>（1）本履约评价标准满分为100分，分为四部分共九项，每项又分若干评价明细项。根据轻重缓急赋予不同分值，采取扣分制，以每项分数扣完为止，最低分为0分。</w:t>
      </w:r>
    </w:p>
    <w:p>
      <w:pPr>
        <w:spacing w:beforeLines="30" w:line="440" w:lineRule="exact"/>
        <w:ind w:firstLine="480" w:firstLineChars="200"/>
        <w:jc w:val="left"/>
        <w:rPr>
          <w:rFonts w:ascii="宋体" w:hAnsi="宋体"/>
          <w:sz w:val="24"/>
          <w:szCs w:val="24"/>
        </w:rPr>
      </w:pPr>
      <w:r>
        <w:rPr>
          <w:rFonts w:hint="eastAsia" w:ascii="宋体" w:hAnsi="宋体"/>
          <w:sz w:val="24"/>
          <w:szCs w:val="24"/>
        </w:rPr>
        <w:t>（2）根据评价得分多少分为三个等级：履约评分在90分（含90分）以上的，为“良好”；评分在60分～90分之间（含60分）的，为“合格”；评分在60分以下（不含60分），为“不合格” 。</w:t>
      </w:r>
    </w:p>
    <w:p>
      <w:pPr>
        <w:spacing w:beforeLines="30" w:line="440" w:lineRule="exact"/>
        <w:ind w:firstLine="480" w:firstLineChars="200"/>
        <w:jc w:val="left"/>
        <w:rPr>
          <w:rFonts w:ascii="宋体" w:hAnsi="宋体"/>
          <w:sz w:val="24"/>
          <w:szCs w:val="24"/>
        </w:rPr>
      </w:pPr>
      <w:r>
        <w:rPr>
          <w:rFonts w:hint="eastAsia" w:ascii="宋体" w:hAnsi="宋体"/>
          <w:sz w:val="24"/>
          <w:szCs w:val="24"/>
        </w:rPr>
        <w:t>第十一条  对本合同未尽事宜，本着以工程利益为重的原则，友好协商解决，由当事人及时协商签署补充协议。合同双方签署的有关协议、技术讨论纪要等文件均为本合同的组成部分，与本合同具有同等效力。</w:t>
      </w:r>
    </w:p>
    <w:p>
      <w:pPr>
        <w:spacing w:beforeLines="30" w:line="440" w:lineRule="exact"/>
        <w:ind w:firstLine="480" w:firstLineChars="200"/>
        <w:jc w:val="left"/>
        <w:rPr>
          <w:rFonts w:ascii="宋体" w:hAnsi="宋体"/>
          <w:sz w:val="24"/>
          <w:szCs w:val="24"/>
        </w:rPr>
      </w:pPr>
      <w:r>
        <w:rPr>
          <w:rFonts w:hint="eastAsia" w:ascii="宋体" w:hAnsi="宋体"/>
          <w:sz w:val="24"/>
          <w:szCs w:val="24"/>
        </w:rPr>
        <w:t>第十二条  其它约定事项：</w:t>
      </w:r>
    </w:p>
    <w:p>
      <w:pPr>
        <w:spacing w:beforeLines="30" w:line="440" w:lineRule="exact"/>
        <w:ind w:firstLine="480" w:firstLineChars="200"/>
        <w:jc w:val="left"/>
        <w:rPr>
          <w:rFonts w:ascii="宋体" w:hAnsi="宋体"/>
          <w:sz w:val="24"/>
          <w:szCs w:val="24"/>
          <w:u w:val="single"/>
        </w:rPr>
      </w:pPr>
      <w:r>
        <w:rPr>
          <w:rFonts w:hint="eastAsia" w:ascii="宋体" w:hAnsi="宋体"/>
          <w:sz w:val="24"/>
          <w:szCs w:val="24"/>
          <w:u w:val="single"/>
        </w:rPr>
        <w:t>12.1</w:t>
      </w:r>
      <w:r>
        <w:rPr>
          <w:rFonts w:hint="eastAsia" w:ascii="宋体" w:hAnsi="宋体"/>
          <w:sz w:val="24"/>
          <w:szCs w:val="24"/>
          <w:u w:val="single"/>
          <w:lang w:eastAsia="zh-CN"/>
        </w:rPr>
        <w:t>承包人</w:t>
      </w:r>
      <w:r>
        <w:rPr>
          <w:rFonts w:hint="eastAsia" w:ascii="宋体" w:hAnsi="宋体"/>
          <w:sz w:val="24"/>
          <w:szCs w:val="24"/>
          <w:u w:val="single"/>
        </w:rPr>
        <w:t>应无条件遵守</w:t>
      </w:r>
      <w:r>
        <w:rPr>
          <w:rFonts w:hint="eastAsia" w:ascii="宋体" w:hAnsi="宋体"/>
          <w:sz w:val="24"/>
          <w:szCs w:val="24"/>
          <w:u w:val="single"/>
          <w:lang w:eastAsia="zh-CN"/>
        </w:rPr>
        <w:t>发包人</w:t>
      </w:r>
      <w:r>
        <w:rPr>
          <w:rFonts w:hint="eastAsia" w:ascii="宋体" w:hAnsi="宋体"/>
          <w:sz w:val="24"/>
          <w:szCs w:val="24"/>
          <w:u w:val="single"/>
        </w:rPr>
        <w:t>发布并在本工程实施的各种技术及工程管理规定。</w:t>
      </w:r>
    </w:p>
    <w:p>
      <w:pPr>
        <w:spacing w:beforeLines="30" w:line="440" w:lineRule="exact"/>
        <w:ind w:firstLine="480" w:firstLineChars="200"/>
        <w:jc w:val="left"/>
        <w:rPr>
          <w:rFonts w:ascii="宋体" w:hAnsi="宋体"/>
          <w:sz w:val="24"/>
          <w:szCs w:val="24"/>
          <w:u w:val="single"/>
        </w:rPr>
      </w:pPr>
      <w:r>
        <w:rPr>
          <w:rFonts w:hint="eastAsia" w:ascii="宋体" w:hAnsi="宋体"/>
          <w:sz w:val="24"/>
          <w:szCs w:val="24"/>
          <w:u w:val="single"/>
        </w:rPr>
        <w:t>12.2为加强工程资金管理，</w:t>
      </w:r>
      <w:r>
        <w:rPr>
          <w:rFonts w:hint="eastAsia" w:ascii="宋体" w:hAnsi="宋体"/>
          <w:sz w:val="24"/>
          <w:szCs w:val="24"/>
          <w:u w:val="single"/>
          <w:lang w:eastAsia="zh-CN"/>
        </w:rPr>
        <w:t>承包人</w:t>
      </w:r>
      <w:r>
        <w:rPr>
          <w:rFonts w:hint="eastAsia" w:ascii="宋体" w:hAnsi="宋体"/>
          <w:sz w:val="24"/>
          <w:szCs w:val="24"/>
          <w:u w:val="single"/>
        </w:rPr>
        <w:t>必须在合同中明确填写具体的收款单位银行开户名、开户银行及帐号，正常情况下</w:t>
      </w:r>
      <w:r>
        <w:rPr>
          <w:rFonts w:hint="eastAsia" w:ascii="宋体" w:hAnsi="宋体"/>
          <w:sz w:val="24"/>
          <w:szCs w:val="24"/>
          <w:u w:val="single"/>
          <w:lang w:eastAsia="zh-CN"/>
        </w:rPr>
        <w:t>发包人</w:t>
      </w:r>
      <w:r>
        <w:rPr>
          <w:rFonts w:hint="eastAsia" w:ascii="宋体" w:hAnsi="宋体"/>
          <w:sz w:val="24"/>
          <w:szCs w:val="24"/>
          <w:u w:val="single"/>
        </w:rPr>
        <w:t>仅向该帐号付款。若因上述原因造成合同价款不能及时支付或产生一切纠纷，均由</w:t>
      </w:r>
      <w:r>
        <w:rPr>
          <w:rFonts w:hint="eastAsia" w:ascii="宋体" w:hAnsi="宋体"/>
          <w:sz w:val="24"/>
          <w:szCs w:val="24"/>
          <w:u w:val="single"/>
          <w:lang w:eastAsia="zh-CN"/>
        </w:rPr>
        <w:t>承包人</w:t>
      </w:r>
      <w:r>
        <w:rPr>
          <w:rFonts w:hint="eastAsia" w:ascii="宋体" w:hAnsi="宋体"/>
          <w:sz w:val="24"/>
          <w:szCs w:val="24"/>
          <w:u w:val="single"/>
        </w:rPr>
        <w:t>自行承担。</w:t>
      </w:r>
    </w:p>
    <w:p>
      <w:pPr>
        <w:spacing w:beforeLines="30" w:line="440" w:lineRule="exact"/>
        <w:ind w:firstLine="480" w:firstLineChars="200"/>
        <w:jc w:val="left"/>
        <w:rPr>
          <w:rFonts w:ascii="宋体" w:hAnsi="宋体"/>
          <w:sz w:val="24"/>
          <w:szCs w:val="24"/>
        </w:rPr>
      </w:pPr>
      <w:r>
        <w:rPr>
          <w:rFonts w:hint="eastAsia" w:ascii="宋体" w:hAnsi="宋体"/>
          <w:sz w:val="24"/>
          <w:szCs w:val="24"/>
        </w:rPr>
        <w:t>第十三条  因合同执行过程中发生争议、纠纷的，</w:t>
      </w:r>
      <w:r>
        <w:rPr>
          <w:rFonts w:hint="eastAsia" w:ascii="宋体" w:hAnsi="宋体"/>
          <w:sz w:val="24"/>
          <w:szCs w:val="24"/>
          <w:lang w:eastAsia="zh-CN"/>
        </w:rPr>
        <w:t>发包人</w:t>
      </w:r>
      <w:r>
        <w:rPr>
          <w:rFonts w:hint="eastAsia" w:ascii="宋体" w:hAnsi="宋体"/>
          <w:sz w:val="24"/>
          <w:szCs w:val="24"/>
        </w:rPr>
        <w:t>、</w:t>
      </w:r>
      <w:r>
        <w:rPr>
          <w:rFonts w:hint="eastAsia" w:ascii="宋体" w:hAnsi="宋体"/>
          <w:sz w:val="24"/>
          <w:szCs w:val="24"/>
          <w:lang w:eastAsia="zh-CN"/>
        </w:rPr>
        <w:t>承包人</w:t>
      </w:r>
      <w:r>
        <w:rPr>
          <w:rFonts w:hint="eastAsia" w:ascii="宋体" w:hAnsi="宋体"/>
          <w:sz w:val="24"/>
          <w:szCs w:val="24"/>
        </w:rPr>
        <w:t>应及时协商解决，协商或调解不成，最后未能达成书面仲裁协议的，可向有管辖权的人民法院起诉。</w:t>
      </w:r>
    </w:p>
    <w:p>
      <w:pPr>
        <w:spacing w:beforeLines="30" w:line="440" w:lineRule="exact"/>
        <w:ind w:firstLine="480" w:firstLineChars="200"/>
        <w:jc w:val="left"/>
        <w:rPr>
          <w:rFonts w:ascii="宋体" w:hAnsi="宋体"/>
          <w:sz w:val="24"/>
          <w:szCs w:val="24"/>
        </w:rPr>
      </w:pPr>
      <w:r>
        <w:rPr>
          <w:rFonts w:hint="eastAsia" w:ascii="宋体" w:hAnsi="宋体"/>
          <w:sz w:val="24"/>
          <w:szCs w:val="24"/>
        </w:rPr>
        <w:t>第十四条  本合同自</w:t>
      </w:r>
      <w:r>
        <w:rPr>
          <w:rFonts w:hint="eastAsia" w:ascii="宋体" w:hAnsi="宋体"/>
          <w:sz w:val="24"/>
          <w:szCs w:val="24"/>
          <w:lang w:eastAsia="zh-CN"/>
        </w:rPr>
        <w:t>发包人</w:t>
      </w:r>
      <w:r>
        <w:rPr>
          <w:rFonts w:hint="eastAsia" w:ascii="宋体" w:hAnsi="宋体"/>
          <w:sz w:val="24"/>
          <w:szCs w:val="24"/>
        </w:rPr>
        <w:t>、</w:t>
      </w:r>
      <w:r>
        <w:rPr>
          <w:rFonts w:hint="eastAsia" w:ascii="宋体" w:hAnsi="宋体"/>
          <w:sz w:val="24"/>
          <w:szCs w:val="24"/>
          <w:lang w:eastAsia="zh-CN"/>
        </w:rPr>
        <w:t>承包人</w:t>
      </w:r>
      <w:r>
        <w:rPr>
          <w:rFonts w:hint="eastAsia" w:ascii="宋体" w:hAnsi="宋体"/>
          <w:sz w:val="24"/>
          <w:szCs w:val="24"/>
        </w:rPr>
        <w:t>签字盖章后生效；按规定向政府职能部门或其派出机构备案。</w:t>
      </w:r>
      <w:r>
        <w:rPr>
          <w:rFonts w:hint="eastAsia" w:ascii="宋体" w:hAnsi="宋体"/>
          <w:sz w:val="24"/>
          <w:szCs w:val="24"/>
          <w:lang w:eastAsia="zh-CN"/>
        </w:rPr>
        <w:t>发包人</w:t>
      </w:r>
      <w:r>
        <w:rPr>
          <w:rFonts w:hint="eastAsia" w:ascii="宋体" w:hAnsi="宋体"/>
          <w:sz w:val="24"/>
          <w:szCs w:val="24"/>
        </w:rPr>
        <w:t>、</w:t>
      </w:r>
      <w:r>
        <w:rPr>
          <w:rFonts w:hint="eastAsia" w:ascii="宋体" w:hAnsi="宋体"/>
          <w:sz w:val="24"/>
          <w:szCs w:val="24"/>
          <w:lang w:eastAsia="zh-CN"/>
        </w:rPr>
        <w:t>承包人</w:t>
      </w:r>
      <w:r>
        <w:rPr>
          <w:rFonts w:hint="eastAsia" w:ascii="宋体" w:hAnsi="宋体"/>
          <w:sz w:val="24"/>
          <w:szCs w:val="24"/>
        </w:rPr>
        <w:t>履行完合同规定的义务后，本合同终止。</w:t>
      </w:r>
    </w:p>
    <w:p>
      <w:pPr>
        <w:spacing w:beforeLines="30" w:line="440" w:lineRule="exact"/>
        <w:ind w:firstLine="480" w:firstLineChars="200"/>
        <w:jc w:val="left"/>
        <w:rPr>
          <w:rFonts w:ascii="宋体" w:hAnsi="宋体"/>
          <w:sz w:val="24"/>
          <w:szCs w:val="24"/>
        </w:rPr>
      </w:pPr>
      <w:r>
        <w:rPr>
          <w:rFonts w:hint="eastAsia" w:ascii="宋体" w:hAnsi="宋体"/>
          <w:sz w:val="24"/>
          <w:szCs w:val="24"/>
        </w:rPr>
        <w:t>本合同一式十份，其中正本二份，双方各执一份，副本八份，</w:t>
      </w:r>
      <w:r>
        <w:rPr>
          <w:rFonts w:hint="eastAsia" w:ascii="宋体" w:hAnsi="宋体"/>
          <w:sz w:val="24"/>
          <w:szCs w:val="24"/>
          <w:lang w:eastAsia="zh-CN"/>
        </w:rPr>
        <w:t>发包人</w:t>
      </w:r>
      <w:r>
        <w:rPr>
          <w:rFonts w:hint="eastAsia" w:ascii="宋体" w:hAnsi="宋体"/>
          <w:sz w:val="24"/>
          <w:szCs w:val="24"/>
        </w:rPr>
        <w:t>执五份、</w:t>
      </w:r>
      <w:r>
        <w:rPr>
          <w:rFonts w:hint="eastAsia" w:ascii="宋体" w:hAnsi="宋体"/>
          <w:sz w:val="24"/>
          <w:szCs w:val="24"/>
          <w:lang w:eastAsia="zh-CN"/>
        </w:rPr>
        <w:t>承包人</w:t>
      </w:r>
      <w:r>
        <w:rPr>
          <w:rFonts w:hint="eastAsia" w:ascii="宋体" w:hAnsi="宋体"/>
          <w:sz w:val="24"/>
          <w:szCs w:val="24"/>
        </w:rPr>
        <w:t>叁份。</w:t>
      </w:r>
    </w:p>
    <w:p>
      <w:pPr>
        <w:spacing w:beforeLines="30" w:line="440" w:lineRule="exact"/>
        <w:jc w:val="left"/>
        <w:rPr>
          <w:rFonts w:ascii="宋体" w:hAnsi="宋体"/>
          <w:sz w:val="24"/>
          <w:szCs w:val="24"/>
        </w:rPr>
      </w:pPr>
    </w:p>
    <w:p>
      <w:pPr>
        <w:spacing w:beforeLines="30" w:line="440" w:lineRule="exact"/>
        <w:jc w:val="left"/>
        <w:rPr>
          <w:rFonts w:ascii="宋体" w:hAnsi="宋体"/>
          <w:sz w:val="24"/>
          <w:szCs w:val="24"/>
        </w:rPr>
      </w:pPr>
    </w:p>
    <w:p>
      <w:pPr>
        <w:spacing w:beforeLines="30" w:line="440" w:lineRule="exact"/>
        <w:jc w:val="left"/>
        <w:rPr>
          <w:rFonts w:ascii="宋体" w:hAnsi="宋体"/>
          <w:sz w:val="24"/>
          <w:szCs w:val="24"/>
        </w:rPr>
      </w:pPr>
    </w:p>
    <w:p>
      <w:pPr>
        <w:spacing w:beforeLines="30" w:line="440" w:lineRule="exact"/>
        <w:jc w:val="left"/>
        <w:rPr>
          <w:rFonts w:ascii="宋体" w:hAnsi="宋体"/>
          <w:sz w:val="24"/>
          <w:szCs w:val="24"/>
        </w:rPr>
      </w:pPr>
    </w:p>
    <w:p>
      <w:pPr>
        <w:spacing w:beforeLines="30" w:line="440" w:lineRule="exact"/>
        <w:jc w:val="left"/>
        <w:rPr>
          <w:rFonts w:ascii="宋体" w:hAnsi="宋体"/>
          <w:sz w:val="24"/>
          <w:szCs w:val="24"/>
        </w:rPr>
      </w:pPr>
      <w:r>
        <w:rPr>
          <w:rFonts w:hint="eastAsia" w:ascii="宋体" w:hAnsi="宋体"/>
          <w:sz w:val="24"/>
          <w:szCs w:val="24"/>
          <w:lang w:eastAsia="zh-CN"/>
        </w:rPr>
        <w:t>发包人</w:t>
      </w:r>
      <w:r>
        <w:rPr>
          <w:rFonts w:hint="eastAsia" w:ascii="宋体" w:hAnsi="宋体"/>
          <w:sz w:val="24"/>
          <w:szCs w:val="24"/>
        </w:rPr>
        <w:t xml:space="preserve">名称（盖章）：                    </w:t>
      </w:r>
      <w:r>
        <w:rPr>
          <w:rFonts w:hint="eastAsia" w:ascii="宋体" w:hAnsi="宋体"/>
          <w:sz w:val="24"/>
          <w:szCs w:val="24"/>
          <w:lang w:eastAsia="zh-CN"/>
        </w:rPr>
        <w:t>承包人</w:t>
      </w:r>
      <w:r>
        <w:rPr>
          <w:rFonts w:hint="eastAsia" w:ascii="宋体" w:hAnsi="宋体"/>
          <w:sz w:val="24"/>
          <w:szCs w:val="24"/>
        </w:rPr>
        <w:t>名称（盖章）：</w:t>
      </w:r>
    </w:p>
    <w:p>
      <w:pPr>
        <w:adjustRightInd w:val="0"/>
        <w:snapToGrid w:val="0"/>
        <w:spacing w:line="440" w:lineRule="exact"/>
        <w:jc w:val="left"/>
        <w:rPr>
          <w:rFonts w:ascii="宋体" w:hAnsi="宋体"/>
          <w:sz w:val="24"/>
          <w:szCs w:val="24"/>
        </w:rPr>
      </w:pPr>
    </w:p>
    <w:p>
      <w:pPr>
        <w:adjustRightInd w:val="0"/>
        <w:snapToGrid w:val="0"/>
        <w:spacing w:line="440" w:lineRule="exact"/>
        <w:jc w:val="left"/>
        <w:rPr>
          <w:rFonts w:ascii="宋体" w:hAnsi="宋体"/>
          <w:sz w:val="24"/>
          <w:szCs w:val="24"/>
        </w:rPr>
      </w:pPr>
      <w:r>
        <w:rPr>
          <w:rFonts w:hint="eastAsia" w:ascii="宋体" w:hAnsi="宋体"/>
          <w:sz w:val="24"/>
          <w:szCs w:val="24"/>
        </w:rPr>
        <w:t>法定代表人（签字）：                  法定代表人（签字）：</w:t>
      </w:r>
    </w:p>
    <w:p>
      <w:pPr>
        <w:adjustRightInd w:val="0"/>
        <w:snapToGrid w:val="0"/>
        <w:spacing w:line="440" w:lineRule="exact"/>
        <w:jc w:val="left"/>
        <w:rPr>
          <w:rFonts w:ascii="宋体" w:hAnsi="宋体"/>
          <w:sz w:val="24"/>
          <w:szCs w:val="24"/>
        </w:rPr>
      </w:pPr>
    </w:p>
    <w:p>
      <w:pPr>
        <w:adjustRightInd w:val="0"/>
        <w:snapToGrid w:val="0"/>
        <w:spacing w:line="440" w:lineRule="exact"/>
        <w:jc w:val="left"/>
        <w:rPr>
          <w:rFonts w:ascii="宋体" w:hAnsi="宋体"/>
          <w:sz w:val="24"/>
          <w:szCs w:val="24"/>
        </w:rPr>
      </w:pPr>
      <w:r>
        <w:rPr>
          <w:rFonts w:hint="eastAsia" w:ascii="宋体" w:hAnsi="宋体"/>
          <w:sz w:val="24"/>
          <w:szCs w:val="24"/>
        </w:rPr>
        <w:t>委托代理人（签字）：                  委托代理人（签字）：</w:t>
      </w:r>
    </w:p>
    <w:p>
      <w:pPr>
        <w:adjustRightInd w:val="0"/>
        <w:snapToGrid w:val="0"/>
        <w:spacing w:line="440" w:lineRule="exact"/>
        <w:jc w:val="left"/>
        <w:rPr>
          <w:rFonts w:ascii="宋体" w:hAnsi="宋体"/>
          <w:sz w:val="24"/>
          <w:szCs w:val="24"/>
        </w:rPr>
      </w:pPr>
    </w:p>
    <w:p>
      <w:pPr>
        <w:adjustRightInd w:val="0"/>
        <w:snapToGrid w:val="0"/>
        <w:spacing w:line="440" w:lineRule="exact"/>
        <w:jc w:val="left"/>
        <w:rPr>
          <w:rFonts w:ascii="宋体" w:hAnsi="宋体"/>
          <w:sz w:val="24"/>
          <w:szCs w:val="24"/>
        </w:rPr>
      </w:pPr>
      <w:r>
        <w:rPr>
          <w:rFonts w:hint="eastAsia" w:ascii="宋体" w:hAnsi="宋体"/>
          <w:sz w:val="24"/>
          <w:szCs w:val="24"/>
        </w:rPr>
        <w:t>地    址：                           地    址：</w:t>
      </w:r>
    </w:p>
    <w:p>
      <w:pPr>
        <w:adjustRightInd w:val="0"/>
        <w:snapToGrid w:val="0"/>
        <w:spacing w:line="440" w:lineRule="exact"/>
        <w:jc w:val="left"/>
        <w:rPr>
          <w:rFonts w:ascii="宋体" w:hAnsi="宋体"/>
          <w:sz w:val="24"/>
          <w:szCs w:val="24"/>
        </w:rPr>
      </w:pPr>
    </w:p>
    <w:p>
      <w:pPr>
        <w:adjustRightInd w:val="0"/>
        <w:snapToGrid w:val="0"/>
        <w:spacing w:line="440" w:lineRule="exact"/>
        <w:jc w:val="left"/>
        <w:rPr>
          <w:rFonts w:ascii="宋体" w:hAnsi="宋体"/>
          <w:sz w:val="24"/>
          <w:szCs w:val="24"/>
        </w:rPr>
      </w:pPr>
      <w:r>
        <w:rPr>
          <w:rFonts w:hint="eastAsia" w:ascii="宋体" w:hAnsi="宋体"/>
          <w:sz w:val="24"/>
          <w:szCs w:val="24"/>
        </w:rPr>
        <w:t>电    话：                           电    话：</w:t>
      </w:r>
    </w:p>
    <w:p>
      <w:pPr>
        <w:adjustRightInd w:val="0"/>
        <w:snapToGrid w:val="0"/>
        <w:spacing w:line="440" w:lineRule="exact"/>
        <w:jc w:val="left"/>
        <w:rPr>
          <w:rFonts w:ascii="宋体" w:hAnsi="宋体"/>
          <w:sz w:val="24"/>
          <w:szCs w:val="24"/>
        </w:rPr>
      </w:pPr>
    </w:p>
    <w:p>
      <w:pPr>
        <w:adjustRightInd w:val="0"/>
        <w:snapToGrid w:val="0"/>
        <w:spacing w:line="440" w:lineRule="exact"/>
        <w:jc w:val="left"/>
        <w:rPr>
          <w:rFonts w:ascii="宋体" w:hAnsi="宋体"/>
          <w:sz w:val="24"/>
          <w:szCs w:val="24"/>
        </w:rPr>
      </w:pPr>
      <w:r>
        <w:rPr>
          <w:rFonts w:hint="eastAsia" w:ascii="宋体" w:hAnsi="宋体"/>
          <w:sz w:val="24"/>
          <w:szCs w:val="24"/>
        </w:rPr>
        <w:t>传    真：                           传    真：</w:t>
      </w:r>
    </w:p>
    <w:p>
      <w:pPr>
        <w:adjustRightInd w:val="0"/>
        <w:snapToGrid w:val="0"/>
        <w:spacing w:line="440" w:lineRule="exact"/>
        <w:jc w:val="left"/>
        <w:rPr>
          <w:rFonts w:ascii="宋体" w:hAnsi="宋体"/>
          <w:sz w:val="24"/>
          <w:szCs w:val="24"/>
        </w:rPr>
      </w:pPr>
    </w:p>
    <w:p>
      <w:pPr>
        <w:adjustRightInd w:val="0"/>
        <w:snapToGrid w:val="0"/>
        <w:spacing w:line="440" w:lineRule="exact"/>
        <w:jc w:val="left"/>
        <w:rPr>
          <w:rFonts w:ascii="宋体" w:hAnsi="宋体"/>
          <w:sz w:val="24"/>
          <w:szCs w:val="24"/>
        </w:rPr>
      </w:pPr>
      <w:r>
        <w:rPr>
          <w:rFonts w:hint="eastAsia" w:ascii="宋体" w:hAnsi="宋体"/>
          <w:sz w:val="24"/>
          <w:szCs w:val="24"/>
        </w:rPr>
        <w:t>开 户 银 行：                        开 户 银 行：</w:t>
      </w:r>
    </w:p>
    <w:p>
      <w:pPr>
        <w:adjustRightInd w:val="0"/>
        <w:snapToGrid w:val="0"/>
        <w:spacing w:line="440" w:lineRule="exact"/>
        <w:jc w:val="left"/>
        <w:rPr>
          <w:rFonts w:ascii="宋体" w:hAnsi="宋体"/>
          <w:sz w:val="24"/>
          <w:szCs w:val="24"/>
        </w:rPr>
      </w:pPr>
    </w:p>
    <w:p>
      <w:pPr>
        <w:adjustRightInd w:val="0"/>
        <w:snapToGrid w:val="0"/>
        <w:spacing w:line="440" w:lineRule="exact"/>
        <w:jc w:val="left"/>
        <w:rPr>
          <w:rFonts w:ascii="宋体" w:hAnsi="宋体"/>
          <w:sz w:val="24"/>
          <w:szCs w:val="24"/>
        </w:rPr>
      </w:pPr>
      <w:r>
        <w:rPr>
          <w:rFonts w:hint="eastAsia" w:ascii="宋体" w:hAnsi="宋体"/>
          <w:sz w:val="24"/>
          <w:szCs w:val="24"/>
        </w:rPr>
        <w:t>帐    号：                           帐    号：</w:t>
      </w:r>
    </w:p>
    <w:p>
      <w:pPr>
        <w:adjustRightInd w:val="0"/>
        <w:snapToGrid w:val="0"/>
        <w:spacing w:line="440" w:lineRule="exact"/>
        <w:jc w:val="left"/>
        <w:rPr>
          <w:rFonts w:ascii="宋体" w:hAnsi="宋体"/>
          <w:sz w:val="24"/>
          <w:szCs w:val="24"/>
        </w:rPr>
      </w:pPr>
    </w:p>
    <w:p>
      <w:pPr>
        <w:adjustRightInd w:val="0"/>
        <w:snapToGrid w:val="0"/>
        <w:spacing w:line="440" w:lineRule="exact"/>
        <w:jc w:val="left"/>
        <w:rPr>
          <w:rFonts w:ascii="宋体" w:hAnsi="宋体"/>
          <w:sz w:val="24"/>
          <w:szCs w:val="24"/>
        </w:rPr>
      </w:pPr>
      <w:r>
        <w:rPr>
          <w:rFonts w:hint="eastAsia" w:ascii="宋体" w:hAnsi="宋体"/>
          <w:sz w:val="24"/>
          <w:szCs w:val="24"/>
        </w:rPr>
        <w:t>邮 政 编 码：                        邮 政 编 码：</w:t>
      </w:r>
    </w:p>
    <w:p>
      <w:pPr>
        <w:adjustRightInd w:val="0"/>
        <w:snapToGrid w:val="0"/>
        <w:spacing w:line="440" w:lineRule="exact"/>
        <w:jc w:val="left"/>
        <w:rPr>
          <w:rFonts w:ascii="宋体" w:hAnsi="宋体"/>
          <w:sz w:val="24"/>
          <w:szCs w:val="24"/>
        </w:rPr>
      </w:pPr>
    </w:p>
    <w:p>
      <w:pPr>
        <w:adjustRightInd w:val="0"/>
        <w:snapToGrid w:val="0"/>
        <w:spacing w:line="440" w:lineRule="exact"/>
        <w:jc w:val="left"/>
        <w:sectPr>
          <w:pgSz w:w="11906" w:h="16838"/>
          <w:pgMar w:top="1417" w:right="1417" w:bottom="1417" w:left="1417" w:header="851" w:footer="992" w:gutter="0"/>
          <w:cols w:space="425" w:num="1"/>
          <w:docGrid w:type="lines" w:linePitch="312" w:charSpace="0"/>
        </w:sectPr>
      </w:pPr>
      <w:r>
        <w:rPr>
          <w:rFonts w:hint="eastAsia" w:ascii="宋体" w:hAnsi="宋体"/>
          <w:sz w:val="24"/>
          <w:szCs w:val="24"/>
        </w:rPr>
        <w:t>合同签定时间：     年   月   日</w:t>
      </w:r>
    </w:p>
    <w:p>
      <w:pPr>
        <w:topLinePunct/>
        <w:snapToGrid w:val="0"/>
        <w:spacing w:line="520" w:lineRule="exact"/>
        <w:ind w:firstLine="720" w:firstLineChars="200"/>
        <w:jc w:val="left"/>
        <w:textAlignment w:val="bottom"/>
        <w:rPr>
          <w:rFonts w:ascii="宋体" w:hAnsi="宋体"/>
          <w:sz w:val="24"/>
        </w:rPr>
      </w:pPr>
      <w:bookmarkStart w:id="87" w:name="_Toc192915917"/>
      <w:r>
        <w:rPr>
          <w:rFonts w:hint="eastAsia"/>
          <w:snapToGrid w:val="0"/>
          <w:sz w:val="36"/>
          <w:szCs w:val="36"/>
        </w:rPr>
        <w:t>合同附件</w:t>
      </w:r>
      <w:bookmarkEnd w:id="87"/>
    </w:p>
    <w:p>
      <w:pPr>
        <w:adjustRightInd w:val="0"/>
        <w:spacing w:afterLines="50" w:line="440" w:lineRule="exact"/>
        <w:jc w:val="center"/>
        <w:outlineLvl w:val="0"/>
        <w:rPr>
          <w:rFonts w:ascii="黑体" w:hAnsi="宋体" w:eastAsia="黑体" w:cs="宋体"/>
          <w:b/>
          <w:bCs/>
          <w:kern w:val="0"/>
          <w:sz w:val="28"/>
          <w:szCs w:val="28"/>
        </w:rPr>
      </w:pPr>
      <w:r>
        <w:rPr>
          <w:rFonts w:hint="eastAsia" w:ascii="黑体" w:hAnsi="宋体" w:eastAsia="黑体" w:cs="宋体"/>
          <w:b/>
          <w:bCs/>
          <w:kern w:val="0"/>
          <w:sz w:val="28"/>
          <w:szCs w:val="28"/>
        </w:rPr>
        <w:t>附件1 项目监测履约评价细则</w:t>
      </w:r>
    </w:p>
    <w:p>
      <w:pPr>
        <w:tabs>
          <w:tab w:val="center" w:pos="4680"/>
        </w:tabs>
        <w:snapToGrid w:val="0"/>
        <w:spacing w:line="80" w:lineRule="exact"/>
        <w:ind w:left="539"/>
      </w:pPr>
    </w:p>
    <w:p>
      <w:pPr>
        <w:tabs>
          <w:tab w:val="center" w:pos="4680"/>
        </w:tabs>
        <w:snapToGrid w:val="0"/>
        <w:spacing w:line="80" w:lineRule="exact"/>
        <w:ind w:left="539"/>
      </w:pPr>
    </w:p>
    <w:tbl>
      <w:tblPr>
        <w:tblStyle w:val="25"/>
        <w:tblW w:w="9356"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441"/>
        <w:gridCol w:w="1260"/>
        <w:gridCol w:w="709"/>
        <w:gridCol w:w="2126"/>
        <w:gridCol w:w="2552"/>
        <w:gridCol w:w="567"/>
        <w:gridCol w:w="850"/>
        <w:gridCol w:w="85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97" w:hRule="atLeast"/>
          <w:jc w:val="center"/>
        </w:trPr>
        <w:tc>
          <w:tcPr>
            <w:tcW w:w="441" w:type="dxa"/>
            <w:vMerge w:val="restart"/>
            <w:vAlign w:val="center"/>
          </w:tcPr>
          <w:p>
            <w:pPr>
              <w:widowControl/>
              <w:snapToGrid w:val="0"/>
              <w:jc w:val="center"/>
              <w:rPr>
                <w:rFonts w:ascii="黑体" w:hAnsi="宋体" w:eastAsia="黑体" w:cs="宋体"/>
                <w:b/>
                <w:kern w:val="0"/>
                <w:szCs w:val="21"/>
              </w:rPr>
            </w:pPr>
            <w:r>
              <w:rPr>
                <w:rFonts w:hint="eastAsia" w:ascii="黑体" w:hAnsi="宋体" w:eastAsia="黑体" w:cs="宋体"/>
                <w:b/>
                <w:kern w:val="0"/>
                <w:szCs w:val="21"/>
              </w:rPr>
              <w:t>序号</w:t>
            </w:r>
          </w:p>
        </w:tc>
        <w:tc>
          <w:tcPr>
            <w:tcW w:w="1260" w:type="dxa"/>
            <w:vMerge w:val="restart"/>
            <w:vAlign w:val="center"/>
          </w:tcPr>
          <w:p>
            <w:pPr>
              <w:widowControl/>
              <w:snapToGrid w:val="0"/>
              <w:jc w:val="center"/>
              <w:rPr>
                <w:rFonts w:ascii="黑体" w:hAnsi="宋体" w:eastAsia="黑体" w:cs="宋体"/>
                <w:b/>
                <w:kern w:val="0"/>
                <w:szCs w:val="21"/>
              </w:rPr>
            </w:pPr>
            <w:r>
              <w:rPr>
                <w:rFonts w:hint="eastAsia" w:ascii="黑体" w:hAnsi="宋体" w:eastAsia="黑体" w:cs="宋体"/>
                <w:b/>
                <w:kern w:val="0"/>
                <w:szCs w:val="21"/>
              </w:rPr>
              <w:t>内</w:t>
            </w:r>
            <w:r>
              <w:rPr>
                <w:rFonts w:ascii="黑体" w:hAnsi="宋体" w:eastAsia="黑体" w:cs="宋体"/>
                <w:b/>
                <w:kern w:val="0"/>
                <w:szCs w:val="21"/>
              </w:rPr>
              <w:t xml:space="preserve"> </w:t>
            </w:r>
            <w:r>
              <w:rPr>
                <w:rFonts w:hint="eastAsia" w:ascii="黑体" w:hAnsi="宋体" w:eastAsia="黑体" w:cs="宋体"/>
                <w:b/>
                <w:kern w:val="0"/>
                <w:szCs w:val="21"/>
              </w:rPr>
              <w:t>容</w:t>
            </w:r>
          </w:p>
        </w:tc>
        <w:tc>
          <w:tcPr>
            <w:tcW w:w="709" w:type="dxa"/>
            <w:vMerge w:val="restart"/>
            <w:vAlign w:val="center"/>
          </w:tcPr>
          <w:p>
            <w:pPr>
              <w:widowControl/>
              <w:snapToGrid w:val="0"/>
              <w:ind w:left="-105" w:leftChars="-50" w:right="-105" w:rightChars="-50"/>
              <w:jc w:val="center"/>
              <w:rPr>
                <w:rFonts w:ascii="黑体" w:hAnsi="宋体" w:eastAsia="黑体" w:cs="宋体"/>
                <w:b/>
                <w:kern w:val="0"/>
                <w:szCs w:val="21"/>
              </w:rPr>
            </w:pPr>
            <w:r>
              <w:rPr>
                <w:rFonts w:hint="eastAsia" w:ascii="黑体" w:hAnsi="宋体" w:eastAsia="黑体" w:cs="宋体"/>
                <w:b/>
                <w:kern w:val="0"/>
                <w:szCs w:val="21"/>
              </w:rPr>
              <w:t>单项</w:t>
            </w:r>
          </w:p>
          <w:p>
            <w:pPr>
              <w:widowControl/>
              <w:snapToGrid w:val="0"/>
              <w:ind w:left="-105" w:leftChars="-50" w:right="-105" w:rightChars="-50"/>
              <w:jc w:val="center"/>
              <w:rPr>
                <w:rFonts w:ascii="黑体" w:hAnsi="宋体" w:eastAsia="黑体" w:cs="宋体"/>
                <w:b/>
                <w:kern w:val="0"/>
                <w:szCs w:val="21"/>
              </w:rPr>
            </w:pPr>
            <w:r>
              <w:rPr>
                <w:rFonts w:hint="eastAsia" w:ascii="黑体" w:hAnsi="宋体" w:eastAsia="黑体" w:cs="宋体"/>
                <w:b/>
                <w:kern w:val="0"/>
                <w:szCs w:val="21"/>
              </w:rPr>
              <w:t>分值</w:t>
            </w:r>
          </w:p>
        </w:tc>
        <w:tc>
          <w:tcPr>
            <w:tcW w:w="2126" w:type="dxa"/>
            <w:vMerge w:val="restart"/>
            <w:tcBorders>
              <w:right w:val="single" w:color="auto" w:sz="4" w:space="0"/>
            </w:tcBorders>
            <w:vAlign w:val="center"/>
          </w:tcPr>
          <w:p>
            <w:pPr>
              <w:widowControl/>
              <w:snapToGrid w:val="0"/>
              <w:jc w:val="center"/>
              <w:rPr>
                <w:rFonts w:ascii="黑体" w:hAnsi="宋体" w:eastAsia="黑体" w:cs="宋体"/>
                <w:b/>
                <w:kern w:val="0"/>
                <w:szCs w:val="21"/>
              </w:rPr>
            </w:pPr>
            <w:r>
              <w:rPr>
                <w:rFonts w:hint="eastAsia" w:ascii="黑体" w:hAnsi="宋体" w:eastAsia="黑体" w:cs="宋体"/>
                <w:b/>
                <w:kern w:val="0"/>
                <w:szCs w:val="21"/>
              </w:rPr>
              <w:t>评价要求</w:t>
            </w:r>
          </w:p>
        </w:tc>
        <w:tc>
          <w:tcPr>
            <w:tcW w:w="2552" w:type="dxa"/>
            <w:vMerge w:val="restart"/>
            <w:tcBorders>
              <w:left w:val="single" w:color="auto" w:sz="4" w:space="0"/>
            </w:tcBorders>
            <w:vAlign w:val="center"/>
          </w:tcPr>
          <w:p>
            <w:pPr>
              <w:widowControl/>
              <w:snapToGrid w:val="0"/>
              <w:jc w:val="center"/>
              <w:rPr>
                <w:rFonts w:ascii="黑体" w:hAnsi="宋体" w:eastAsia="黑体" w:cs="宋体"/>
                <w:b/>
                <w:kern w:val="0"/>
                <w:szCs w:val="21"/>
              </w:rPr>
            </w:pPr>
            <w:r>
              <w:rPr>
                <w:rFonts w:hint="eastAsia" w:ascii="黑体" w:hAnsi="宋体" w:eastAsia="黑体" w:cs="宋体"/>
                <w:b/>
                <w:kern w:val="0"/>
                <w:szCs w:val="21"/>
              </w:rPr>
              <w:t>评分标准</w:t>
            </w:r>
          </w:p>
        </w:tc>
        <w:tc>
          <w:tcPr>
            <w:tcW w:w="567" w:type="dxa"/>
            <w:vMerge w:val="restart"/>
            <w:vAlign w:val="center"/>
          </w:tcPr>
          <w:p>
            <w:pPr>
              <w:widowControl/>
              <w:snapToGrid w:val="0"/>
              <w:jc w:val="center"/>
              <w:rPr>
                <w:rFonts w:ascii="黑体" w:hAnsi="宋体" w:eastAsia="黑体" w:cs="宋体"/>
                <w:b/>
                <w:bCs/>
                <w:kern w:val="0"/>
                <w:szCs w:val="21"/>
              </w:rPr>
            </w:pPr>
            <w:r>
              <w:rPr>
                <w:rFonts w:hint="eastAsia" w:ascii="黑体" w:hAnsi="宋体" w:eastAsia="黑体" w:cs="宋体"/>
                <w:b/>
                <w:bCs/>
                <w:kern w:val="0"/>
                <w:szCs w:val="21"/>
              </w:rPr>
              <w:t>评分</w:t>
            </w:r>
          </w:p>
        </w:tc>
        <w:tc>
          <w:tcPr>
            <w:tcW w:w="1701" w:type="dxa"/>
            <w:gridSpan w:val="2"/>
            <w:tcBorders>
              <w:bottom w:val="single" w:color="auto" w:sz="4" w:space="0"/>
            </w:tcBorders>
            <w:vAlign w:val="center"/>
          </w:tcPr>
          <w:p>
            <w:pPr>
              <w:widowControl/>
              <w:snapToGrid w:val="0"/>
              <w:jc w:val="center"/>
              <w:rPr>
                <w:rFonts w:ascii="黑体" w:hAnsi="宋体" w:eastAsia="黑体" w:cs="宋体"/>
                <w:b/>
                <w:bCs/>
                <w:kern w:val="0"/>
                <w:szCs w:val="21"/>
              </w:rPr>
            </w:pPr>
            <w:r>
              <w:rPr>
                <w:rFonts w:hint="eastAsia" w:ascii="黑体" w:hAnsi="宋体" w:eastAsia="黑体" w:cs="宋体"/>
                <w:b/>
                <w:bCs/>
                <w:kern w:val="0"/>
                <w:szCs w:val="21"/>
              </w:rPr>
              <w:t>履约记录方式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197" w:hRule="atLeast"/>
          <w:jc w:val="center"/>
        </w:trPr>
        <w:tc>
          <w:tcPr>
            <w:tcW w:w="441" w:type="dxa"/>
            <w:vMerge w:val="continue"/>
            <w:vAlign w:val="center"/>
          </w:tcPr>
          <w:p>
            <w:pPr>
              <w:widowControl/>
              <w:snapToGrid w:val="0"/>
              <w:jc w:val="center"/>
              <w:rPr>
                <w:rFonts w:ascii="黑体" w:hAnsi="宋体" w:eastAsia="黑体" w:cs="宋体"/>
                <w:b/>
                <w:kern w:val="0"/>
                <w:szCs w:val="21"/>
              </w:rPr>
            </w:pPr>
          </w:p>
        </w:tc>
        <w:tc>
          <w:tcPr>
            <w:tcW w:w="1260" w:type="dxa"/>
            <w:vMerge w:val="continue"/>
            <w:vAlign w:val="center"/>
          </w:tcPr>
          <w:p>
            <w:pPr>
              <w:widowControl/>
              <w:snapToGrid w:val="0"/>
              <w:jc w:val="center"/>
              <w:rPr>
                <w:rFonts w:ascii="黑体" w:hAnsi="宋体" w:eastAsia="黑体" w:cs="宋体"/>
                <w:b/>
                <w:kern w:val="0"/>
                <w:szCs w:val="21"/>
              </w:rPr>
            </w:pPr>
          </w:p>
        </w:tc>
        <w:tc>
          <w:tcPr>
            <w:tcW w:w="709" w:type="dxa"/>
            <w:vMerge w:val="continue"/>
            <w:tcBorders>
              <w:bottom w:val="single" w:color="auto" w:sz="6" w:space="0"/>
            </w:tcBorders>
            <w:vAlign w:val="center"/>
          </w:tcPr>
          <w:p>
            <w:pPr>
              <w:widowControl/>
              <w:snapToGrid w:val="0"/>
              <w:ind w:left="-105" w:leftChars="-50" w:right="-105" w:rightChars="-50"/>
              <w:jc w:val="center"/>
              <w:rPr>
                <w:rFonts w:ascii="黑体" w:hAnsi="宋体" w:eastAsia="黑体" w:cs="宋体"/>
                <w:b/>
                <w:kern w:val="0"/>
                <w:szCs w:val="21"/>
              </w:rPr>
            </w:pPr>
          </w:p>
        </w:tc>
        <w:tc>
          <w:tcPr>
            <w:tcW w:w="2126" w:type="dxa"/>
            <w:vMerge w:val="continue"/>
            <w:tcBorders>
              <w:bottom w:val="single" w:color="auto" w:sz="6" w:space="0"/>
              <w:right w:val="single" w:color="auto" w:sz="4" w:space="0"/>
            </w:tcBorders>
            <w:vAlign w:val="center"/>
          </w:tcPr>
          <w:p>
            <w:pPr>
              <w:widowControl/>
              <w:snapToGrid w:val="0"/>
              <w:jc w:val="center"/>
              <w:rPr>
                <w:rFonts w:ascii="黑体" w:hAnsi="宋体" w:eastAsia="黑体" w:cs="宋体"/>
                <w:b/>
                <w:kern w:val="0"/>
                <w:szCs w:val="21"/>
              </w:rPr>
            </w:pPr>
          </w:p>
        </w:tc>
        <w:tc>
          <w:tcPr>
            <w:tcW w:w="2552" w:type="dxa"/>
            <w:vMerge w:val="continue"/>
            <w:tcBorders>
              <w:left w:val="single" w:color="auto" w:sz="4" w:space="0"/>
            </w:tcBorders>
            <w:vAlign w:val="center"/>
          </w:tcPr>
          <w:p>
            <w:pPr>
              <w:widowControl/>
              <w:snapToGrid w:val="0"/>
              <w:jc w:val="center"/>
              <w:rPr>
                <w:rFonts w:ascii="黑体" w:hAnsi="宋体" w:eastAsia="黑体" w:cs="宋体"/>
                <w:b/>
                <w:kern w:val="0"/>
                <w:szCs w:val="21"/>
              </w:rPr>
            </w:pPr>
          </w:p>
        </w:tc>
        <w:tc>
          <w:tcPr>
            <w:tcW w:w="567" w:type="dxa"/>
            <w:vMerge w:val="continue"/>
            <w:vAlign w:val="center"/>
          </w:tcPr>
          <w:p>
            <w:pPr>
              <w:widowControl/>
              <w:snapToGrid w:val="0"/>
              <w:jc w:val="center"/>
              <w:rPr>
                <w:rFonts w:ascii="黑体" w:hAnsi="宋体" w:eastAsia="黑体" w:cs="宋体"/>
                <w:b/>
                <w:bCs/>
                <w:kern w:val="0"/>
                <w:szCs w:val="21"/>
              </w:rPr>
            </w:pPr>
          </w:p>
        </w:tc>
        <w:tc>
          <w:tcPr>
            <w:tcW w:w="850" w:type="dxa"/>
            <w:tcBorders>
              <w:top w:val="single" w:color="auto" w:sz="4" w:space="0"/>
            </w:tcBorders>
            <w:vAlign w:val="center"/>
          </w:tcPr>
          <w:p>
            <w:pPr>
              <w:adjustRightInd w:val="0"/>
              <w:snapToGrid w:val="0"/>
              <w:ind w:left="-105" w:leftChars="-50" w:right="-105" w:rightChars="-50"/>
              <w:jc w:val="center"/>
              <w:rPr>
                <w:rFonts w:ascii="黑体" w:hAnsi="宋体" w:eastAsia="黑体" w:cs="宋体"/>
                <w:b/>
                <w:bCs/>
                <w:kern w:val="0"/>
                <w:szCs w:val="21"/>
              </w:rPr>
            </w:pPr>
            <w:r>
              <w:rPr>
                <w:rFonts w:hint="eastAsia" w:ascii="黑体" w:hAnsi="宋体" w:eastAsia="黑体" w:cs="宋体"/>
                <w:b/>
                <w:bCs/>
                <w:kern w:val="0"/>
                <w:szCs w:val="21"/>
              </w:rPr>
              <w:t>日常</w:t>
            </w:r>
          </w:p>
        </w:tc>
        <w:tc>
          <w:tcPr>
            <w:tcW w:w="851" w:type="dxa"/>
            <w:tcBorders>
              <w:top w:val="single" w:color="auto" w:sz="4" w:space="0"/>
            </w:tcBorders>
            <w:vAlign w:val="center"/>
          </w:tcPr>
          <w:p>
            <w:pPr>
              <w:widowControl/>
              <w:snapToGrid w:val="0"/>
              <w:jc w:val="center"/>
              <w:rPr>
                <w:rFonts w:ascii="黑体" w:hAnsi="宋体" w:eastAsia="黑体" w:cs="宋体"/>
                <w:b/>
                <w:bCs/>
                <w:kern w:val="0"/>
                <w:szCs w:val="21"/>
              </w:rPr>
            </w:pPr>
            <w:r>
              <w:rPr>
                <w:rFonts w:hint="eastAsia" w:ascii="黑体" w:hAnsi="宋体" w:eastAsia="黑体" w:cs="宋体"/>
                <w:b/>
                <w:bCs/>
                <w:kern w:val="0"/>
                <w:szCs w:val="21"/>
              </w:rPr>
              <w:t>成果</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41" w:type="dxa"/>
            <w:shd w:val="clear" w:color="auto" w:fill="auto"/>
            <w:vAlign w:val="center"/>
          </w:tcPr>
          <w:p>
            <w:pPr>
              <w:widowControl/>
              <w:jc w:val="center"/>
              <w:rPr>
                <w:rFonts w:ascii="黑体" w:hAnsi="宋体" w:eastAsia="黑体" w:cs="宋体"/>
                <w:kern w:val="0"/>
                <w:sz w:val="24"/>
              </w:rPr>
            </w:pPr>
            <w:r>
              <w:rPr>
                <w:rFonts w:hint="eastAsia" w:ascii="黑体" w:hAnsi="宋体" w:eastAsia="黑体" w:cs="宋体"/>
                <w:kern w:val="0"/>
                <w:sz w:val="24"/>
              </w:rPr>
              <w:t>一</w:t>
            </w:r>
          </w:p>
        </w:tc>
        <w:tc>
          <w:tcPr>
            <w:tcW w:w="1260" w:type="dxa"/>
            <w:shd w:val="clear" w:color="auto" w:fill="auto"/>
            <w:vAlign w:val="center"/>
          </w:tcPr>
          <w:p>
            <w:pPr>
              <w:widowControl/>
              <w:jc w:val="left"/>
              <w:rPr>
                <w:rFonts w:ascii="黑体" w:hAnsi="宋体" w:eastAsia="黑体" w:cs="宋体"/>
                <w:kern w:val="0"/>
                <w:sz w:val="24"/>
              </w:rPr>
            </w:pPr>
            <w:r>
              <w:rPr>
                <w:rFonts w:hint="eastAsia" w:ascii="黑体" w:hAnsi="宋体" w:eastAsia="黑体" w:cs="宋体"/>
                <w:kern w:val="0"/>
                <w:sz w:val="24"/>
              </w:rPr>
              <w:t>人员配备</w:t>
            </w:r>
          </w:p>
        </w:tc>
        <w:tc>
          <w:tcPr>
            <w:tcW w:w="709" w:type="dxa"/>
            <w:tcBorders>
              <w:top w:val="single" w:color="auto" w:sz="6" w:space="0"/>
              <w:bottom w:val="single" w:color="auto" w:sz="6" w:space="0"/>
            </w:tcBorders>
            <w:shd w:val="clear" w:color="auto" w:fill="FFFFFF"/>
            <w:vAlign w:val="center"/>
          </w:tcPr>
          <w:p>
            <w:pPr>
              <w:widowControl/>
              <w:jc w:val="center"/>
              <w:rPr>
                <w:rFonts w:ascii="宋体" w:hAnsi="宋体" w:cs="宋体"/>
                <w:b/>
                <w:kern w:val="0"/>
                <w:sz w:val="18"/>
                <w:szCs w:val="18"/>
              </w:rPr>
            </w:pPr>
            <w:r>
              <w:rPr>
                <w:rFonts w:hint="eastAsia" w:ascii="黑体" w:hAnsi="宋体" w:eastAsia="黑体" w:cs="宋体"/>
                <w:b/>
                <w:kern w:val="0"/>
                <w:sz w:val="24"/>
              </w:rPr>
              <w:t>8</w:t>
            </w:r>
          </w:p>
        </w:tc>
        <w:tc>
          <w:tcPr>
            <w:tcW w:w="2126" w:type="dxa"/>
            <w:tcBorders>
              <w:top w:val="single" w:color="auto" w:sz="6" w:space="0"/>
              <w:bottom w:val="single" w:color="auto" w:sz="6" w:space="0"/>
              <w:right w:val="single" w:color="auto" w:sz="4" w:space="0"/>
            </w:tcBorders>
            <w:shd w:val="clear" w:color="auto" w:fill="FFFFFF"/>
            <w:vAlign w:val="center"/>
          </w:tcPr>
          <w:p>
            <w:pPr>
              <w:widowControl/>
              <w:jc w:val="left"/>
              <w:rPr>
                <w:rFonts w:ascii="宋体" w:hAnsi="宋体" w:cs="宋体"/>
                <w:kern w:val="0"/>
                <w:sz w:val="18"/>
                <w:szCs w:val="18"/>
              </w:rPr>
            </w:pPr>
          </w:p>
        </w:tc>
        <w:tc>
          <w:tcPr>
            <w:tcW w:w="2552" w:type="dxa"/>
            <w:tcBorders>
              <w:left w:val="single" w:color="auto" w:sz="4" w:space="0"/>
            </w:tcBorders>
            <w:vAlign w:val="center"/>
          </w:tcPr>
          <w:p>
            <w:pPr>
              <w:widowControl/>
              <w:jc w:val="left"/>
              <w:rPr>
                <w:rFonts w:ascii="宋体" w:hAnsi="宋体" w:cs="宋体"/>
                <w:kern w:val="0"/>
                <w:sz w:val="18"/>
                <w:szCs w:val="18"/>
              </w:rPr>
            </w:pP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441"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260" w:type="dxa"/>
            <w:vMerge w:val="restart"/>
            <w:vAlign w:val="center"/>
          </w:tcPr>
          <w:p>
            <w:pPr>
              <w:widowControl/>
              <w:jc w:val="left"/>
              <w:rPr>
                <w:rFonts w:ascii="宋体" w:hAnsi="宋体" w:cs="宋体"/>
                <w:kern w:val="0"/>
                <w:sz w:val="18"/>
                <w:szCs w:val="18"/>
              </w:rPr>
            </w:pPr>
            <w:r>
              <w:rPr>
                <w:rFonts w:hint="eastAsia" w:ascii="宋体" w:hAnsi="宋体" w:cs="宋体"/>
                <w:kern w:val="0"/>
                <w:sz w:val="18"/>
                <w:szCs w:val="18"/>
              </w:rPr>
              <w:t>项目负责人要求</w:t>
            </w:r>
          </w:p>
        </w:tc>
        <w:tc>
          <w:tcPr>
            <w:tcW w:w="709" w:type="dxa"/>
            <w:vMerge w:val="restart"/>
            <w:tcBorders>
              <w:top w:val="single" w:color="auto" w:sz="6"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2126" w:type="dxa"/>
            <w:tcBorders>
              <w:top w:val="single" w:color="auto" w:sz="6" w:space="0"/>
              <w:bottom w:val="single" w:color="auto" w:sz="4" w:space="0"/>
              <w:right w:val="single" w:color="auto" w:sz="4" w:space="0"/>
            </w:tcBorders>
            <w:vAlign w:val="center"/>
          </w:tcPr>
          <w:p>
            <w:pPr>
              <w:widowControl/>
              <w:snapToGrid w:val="0"/>
              <w:jc w:val="left"/>
              <w:rPr>
                <w:rFonts w:ascii="宋体" w:hAnsi="宋体" w:cs="宋体"/>
                <w:kern w:val="0"/>
                <w:sz w:val="18"/>
                <w:szCs w:val="18"/>
              </w:rPr>
            </w:pPr>
            <w:r>
              <w:rPr>
                <w:rFonts w:hint="eastAsia" w:ascii="宋体" w:hAnsi="宋体" w:cs="宋体"/>
                <w:kern w:val="0"/>
                <w:sz w:val="18"/>
                <w:szCs w:val="18"/>
              </w:rPr>
              <w:t>要求具有注册工程师，且满足招标文件要求。</w:t>
            </w:r>
          </w:p>
        </w:tc>
        <w:tc>
          <w:tcPr>
            <w:tcW w:w="2552" w:type="dxa"/>
            <w:tcBorders>
              <w:left w:val="single" w:color="auto" w:sz="4" w:space="0"/>
            </w:tcBorders>
            <w:vAlign w:val="center"/>
          </w:tcPr>
          <w:p>
            <w:pPr>
              <w:widowControl/>
              <w:snapToGrid w:val="0"/>
              <w:jc w:val="left"/>
              <w:rPr>
                <w:rFonts w:ascii="宋体" w:hAnsi="宋体" w:cs="宋体"/>
                <w:kern w:val="0"/>
                <w:sz w:val="18"/>
                <w:szCs w:val="18"/>
              </w:rPr>
            </w:pPr>
            <w:r>
              <w:rPr>
                <w:rFonts w:hint="eastAsia" w:ascii="宋体" w:hAnsi="宋体" w:cs="宋体"/>
                <w:kern w:val="0"/>
                <w:sz w:val="18"/>
                <w:szCs w:val="18"/>
              </w:rPr>
              <w:t>低于相应专业职称，扣1分</w:t>
            </w: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snapToGrid w:val="0"/>
              <w:jc w:val="center"/>
              <w:rPr>
                <w:rFonts w:ascii="宋体" w:hAnsi="宋体" w:cs="宋体"/>
                <w:kern w:val="0"/>
                <w:sz w:val="18"/>
                <w:szCs w:val="18"/>
              </w:rPr>
            </w:pPr>
            <w:r>
              <w:rPr>
                <w:rFonts w:hint="eastAsia" w:ascii="宋体" w:hAnsi="宋体" w:cs="宋体"/>
                <w:kern w:val="0"/>
                <w:sz w:val="18"/>
                <w:szCs w:val="18"/>
              </w:rPr>
              <w:t>√</w:t>
            </w: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441" w:type="dxa"/>
            <w:vMerge w:val="continue"/>
            <w:vAlign w:val="center"/>
          </w:tcPr>
          <w:p>
            <w:pPr>
              <w:widowControl/>
              <w:jc w:val="center"/>
              <w:rPr>
                <w:rFonts w:ascii="宋体" w:hAnsi="宋体" w:cs="宋体"/>
                <w:kern w:val="0"/>
                <w:sz w:val="18"/>
                <w:szCs w:val="18"/>
              </w:rPr>
            </w:pPr>
          </w:p>
        </w:tc>
        <w:tc>
          <w:tcPr>
            <w:tcW w:w="1260" w:type="dxa"/>
            <w:vMerge w:val="continue"/>
            <w:vAlign w:val="center"/>
          </w:tcPr>
          <w:p>
            <w:pPr>
              <w:widowControl/>
              <w:jc w:val="left"/>
              <w:rPr>
                <w:rFonts w:ascii="宋体" w:hAnsi="宋体" w:cs="宋体"/>
                <w:kern w:val="0"/>
                <w:sz w:val="18"/>
                <w:szCs w:val="18"/>
              </w:rPr>
            </w:pPr>
          </w:p>
        </w:tc>
        <w:tc>
          <w:tcPr>
            <w:tcW w:w="709" w:type="dxa"/>
            <w:vMerge w:val="continue"/>
            <w:vAlign w:val="center"/>
          </w:tcPr>
          <w:p>
            <w:pPr>
              <w:widowControl/>
              <w:jc w:val="center"/>
              <w:rPr>
                <w:rFonts w:ascii="宋体" w:hAnsi="宋体" w:cs="宋体"/>
                <w:kern w:val="0"/>
                <w:sz w:val="18"/>
                <w:szCs w:val="18"/>
              </w:rPr>
            </w:pPr>
          </w:p>
        </w:tc>
        <w:tc>
          <w:tcPr>
            <w:tcW w:w="2126" w:type="dxa"/>
            <w:tcBorders>
              <w:top w:val="single" w:color="auto" w:sz="4" w:space="0"/>
              <w:bottom w:val="single" w:color="auto" w:sz="4" w:space="0"/>
              <w:right w:val="single" w:color="auto" w:sz="4" w:space="0"/>
            </w:tcBorders>
            <w:vAlign w:val="center"/>
          </w:tcPr>
          <w:p>
            <w:pPr>
              <w:widowControl/>
              <w:snapToGrid w:val="0"/>
              <w:jc w:val="left"/>
              <w:rPr>
                <w:rFonts w:ascii="宋体" w:hAnsi="宋体" w:cs="宋体"/>
                <w:kern w:val="0"/>
                <w:sz w:val="18"/>
                <w:szCs w:val="18"/>
              </w:rPr>
            </w:pPr>
            <w:r>
              <w:rPr>
                <w:rFonts w:hint="eastAsia" w:ascii="宋体" w:hAnsi="宋体" w:cs="宋体"/>
                <w:kern w:val="0"/>
                <w:sz w:val="18"/>
                <w:szCs w:val="18"/>
              </w:rPr>
              <w:t>是否按合同到位，人员稳定无更换</w:t>
            </w:r>
          </w:p>
        </w:tc>
        <w:tc>
          <w:tcPr>
            <w:tcW w:w="2552" w:type="dxa"/>
            <w:tcBorders>
              <w:left w:val="single" w:color="auto" w:sz="4" w:space="0"/>
            </w:tcBorders>
            <w:vAlign w:val="center"/>
          </w:tcPr>
          <w:p>
            <w:pPr>
              <w:widowControl/>
              <w:snapToGrid w:val="0"/>
              <w:jc w:val="left"/>
              <w:rPr>
                <w:rFonts w:ascii="宋体" w:hAnsi="宋体" w:cs="宋体"/>
                <w:kern w:val="0"/>
                <w:sz w:val="18"/>
                <w:szCs w:val="18"/>
              </w:rPr>
            </w:pPr>
            <w:r>
              <w:rPr>
                <w:rFonts w:hint="eastAsia" w:ascii="宋体" w:hAnsi="宋体" w:cs="宋体"/>
                <w:kern w:val="0"/>
                <w:sz w:val="18"/>
                <w:szCs w:val="18"/>
              </w:rPr>
              <w:t>未按合同到位，每更换一次，扣0.5分</w:t>
            </w: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snapToGrid w:val="0"/>
              <w:jc w:val="center"/>
              <w:rPr>
                <w:rFonts w:ascii="宋体" w:hAnsi="宋体" w:cs="宋体"/>
                <w:kern w:val="0"/>
                <w:sz w:val="18"/>
                <w:szCs w:val="18"/>
              </w:rPr>
            </w:pPr>
            <w:r>
              <w:rPr>
                <w:rFonts w:hint="eastAsia" w:ascii="宋体" w:hAnsi="宋体" w:cs="宋体"/>
                <w:kern w:val="0"/>
                <w:sz w:val="18"/>
                <w:szCs w:val="18"/>
              </w:rPr>
              <w:t>√</w:t>
            </w: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441" w:type="dxa"/>
            <w:vMerge w:val="continue"/>
            <w:vAlign w:val="center"/>
          </w:tcPr>
          <w:p>
            <w:pPr>
              <w:widowControl/>
              <w:jc w:val="center"/>
              <w:rPr>
                <w:rFonts w:ascii="宋体" w:hAnsi="宋体" w:cs="宋体"/>
                <w:kern w:val="0"/>
                <w:sz w:val="18"/>
                <w:szCs w:val="18"/>
              </w:rPr>
            </w:pPr>
          </w:p>
        </w:tc>
        <w:tc>
          <w:tcPr>
            <w:tcW w:w="1260" w:type="dxa"/>
            <w:vMerge w:val="continue"/>
            <w:vAlign w:val="center"/>
          </w:tcPr>
          <w:p>
            <w:pPr>
              <w:widowControl/>
              <w:jc w:val="left"/>
              <w:rPr>
                <w:rFonts w:ascii="宋体" w:hAnsi="宋体" w:cs="宋体"/>
                <w:kern w:val="0"/>
                <w:sz w:val="18"/>
                <w:szCs w:val="18"/>
              </w:rPr>
            </w:pPr>
          </w:p>
        </w:tc>
        <w:tc>
          <w:tcPr>
            <w:tcW w:w="709" w:type="dxa"/>
            <w:vMerge w:val="continue"/>
            <w:vAlign w:val="center"/>
          </w:tcPr>
          <w:p>
            <w:pPr>
              <w:widowControl/>
              <w:jc w:val="center"/>
              <w:rPr>
                <w:rFonts w:ascii="宋体" w:hAnsi="宋体" w:cs="宋体"/>
                <w:kern w:val="0"/>
                <w:sz w:val="18"/>
                <w:szCs w:val="18"/>
              </w:rPr>
            </w:pPr>
          </w:p>
        </w:tc>
        <w:tc>
          <w:tcPr>
            <w:tcW w:w="2126" w:type="dxa"/>
            <w:tcBorders>
              <w:top w:val="single" w:color="auto" w:sz="4" w:space="0"/>
              <w:bottom w:val="single" w:color="auto" w:sz="4" w:space="0"/>
              <w:right w:val="single" w:color="auto" w:sz="4" w:space="0"/>
            </w:tcBorders>
            <w:vAlign w:val="center"/>
          </w:tcPr>
          <w:p>
            <w:pPr>
              <w:widowControl/>
              <w:snapToGrid w:val="0"/>
              <w:jc w:val="left"/>
              <w:rPr>
                <w:rFonts w:ascii="宋体" w:hAnsi="宋体" w:cs="宋体"/>
                <w:kern w:val="0"/>
                <w:sz w:val="18"/>
                <w:szCs w:val="18"/>
              </w:rPr>
            </w:pPr>
            <w:r>
              <w:rPr>
                <w:rFonts w:hint="eastAsia" w:ascii="宋体" w:hAnsi="宋体" w:cs="宋体"/>
                <w:kern w:val="0"/>
                <w:sz w:val="18"/>
                <w:szCs w:val="18"/>
              </w:rPr>
              <w:t>及时发现问题和处理问题</w:t>
            </w:r>
          </w:p>
        </w:tc>
        <w:tc>
          <w:tcPr>
            <w:tcW w:w="2552" w:type="dxa"/>
            <w:tcBorders>
              <w:left w:val="single" w:color="auto" w:sz="4" w:space="0"/>
            </w:tcBorders>
            <w:vAlign w:val="center"/>
          </w:tcPr>
          <w:p>
            <w:pPr>
              <w:widowControl/>
              <w:snapToGrid w:val="0"/>
              <w:jc w:val="left"/>
              <w:rPr>
                <w:rFonts w:ascii="宋体" w:hAnsi="宋体" w:cs="宋体"/>
                <w:kern w:val="0"/>
                <w:sz w:val="18"/>
                <w:szCs w:val="18"/>
              </w:rPr>
            </w:pPr>
            <w:r>
              <w:rPr>
                <w:rFonts w:hint="eastAsia" w:ascii="宋体" w:hAnsi="宋体" w:cs="宋体"/>
                <w:kern w:val="0"/>
                <w:sz w:val="18"/>
                <w:szCs w:val="18"/>
              </w:rPr>
              <w:t>发现问题后未及时处理，每发生一次扣0.5分</w:t>
            </w: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snapToGrid w:val="0"/>
              <w:jc w:val="center"/>
              <w:rPr>
                <w:rFonts w:ascii="宋体" w:hAnsi="宋体" w:cs="宋体"/>
                <w:kern w:val="0"/>
                <w:sz w:val="18"/>
                <w:szCs w:val="18"/>
              </w:rPr>
            </w:pPr>
            <w:r>
              <w:rPr>
                <w:rFonts w:hint="eastAsia" w:ascii="宋体" w:hAnsi="宋体" w:cs="宋体"/>
                <w:kern w:val="0"/>
                <w:sz w:val="18"/>
                <w:szCs w:val="18"/>
              </w:rPr>
              <w:t>√</w:t>
            </w: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441" w:type="dxa"/>
            <w:vMerge w:val="continue"/>
            <w:vAlign w:val="center"/>
          </w:tcPr>
          <w:p>
            <w:pPr>
              <w:widowControl/>
              <w:jc w:val="center"/>
              <w:rPr>
                <w:rFonts w:ascii="宋体" w:hAnsi="宋体" w:cs="宋体"/>
                <w:kern w:val="0"/>
                <w:sz w:val="18"/>
                <w:szCs w:val="18"/>
              </w:rPr>
            </w:pPr>
          </w:p>
        </w:tc>
        <w:tc>
          <w:tcPr>
            <w:tcW w:w="1260" w:type="dxa"/>
            <w:vMerge w:val="continue"/>
            <w:vAlign w:val="center"/>
          </w:tcPr>
          <w:p>
            <w:pPr>
              <w:widowControl/>
              <w:jc w:val="left"/>
              <w:rPr>
                <w:rFonts w:ascii="宋体" w:hAnsi="宋体" w:cs="宋体"/>
                <w:kern w:val="0"/>
                <w:sz w:val="18"/>
                <w:szCs w:val="18"/>
              </w:rPr>
            </w:pPr>
          </w:p>
        </w:tc>
        <w:tc>
          <w:tcPr>
            <w:tcW w:w="709" w:type="dxa"/>
            <w:vMerge w:val="continue"/>
            <w:vAlign w:val="center"/>
          </w:tcPr>
          <w:p>
            <w:pPr>
              <w:widowControl/>
              <w:jc w:val="center"/>
              <w:rPr>
                <w:rFonts w:ascii="宋体" w:hAnsi="宋体" w:cs="宋体"/>
                <w:kern w:val="0"/>
                <w:sz w:val="18"/>
                <w:szCs w:val="18"/>
              </w:rPr>
            </w:pPr>
          </w:p>
        </w:tc>
        <w:tc>
          <w:tcPr>
            <w:tcW w:w="2126" w:type="dxa"/>
            <w:tcBorders>
              <w:top w:val="single" w:color="auto" w:sz="4" w:space="0"/>
              <w:bottom w:val="single" w:color="auto" w:sz="4" w:space="0"/>
              <w:right w:val="single" w:color="auto" w:sz="4" w:space="0"/>
            </w:tcBorders>
            <w:vAlign w:val="center"/>
          </w:tcPr>
          <w:p>
            <w:pPr>
              <w:widowControl/>
              <w:snapToGrid w:val="0"/>
              <w:jc w:val="left"/>
              <w:rPr>
                <w:rFonts w:ascii="宋体" w:hAnsi="宋体" w:cs="宋体"/>
                <w:kern w:val="0"/>
                <w:sz w:val="18"/>
                <w:szCs w:val="18"/>
              </w:rPr>
            </w:pPr>
            <w:r>
              <w:rPr>
                <w:rFonts w:hint="eastAsia" w:ascii="宋体" w:hAnsi="宋体" w:cs="宋体"/>
                <w:kern w:val="0"/>
                <w:sz w:val="18"/>
                <w:szCs w:val="18"/>
              </w:rPr>
              <w:t>具有较强的专业协调能力</w:t>
            </w:r>
          </w:p>
        </w:tc>
        <w:tc>
          <w:tcPr>
            <w:tcW w:w="2552" w:type="dxa"/>
            <w:tcBorders>
              <w:left w:val="single" w:color="auto" w:sz="4" w:space="0"/>
            </w:tcBorders>
            <w:vAlign w:val="center"/>
          </w:tcPr>
          <w:p>
            <w:pPr>
              <w:widowControl/>
              <w:snapToGrid w:val="0"/>
              <w:jc w:val="left"/>
              <w:rPr>
                <w:rFonts w:ascii="宋体" w:hAnsi="宋体" w:cs="宋体"/>
                <w:kern w:val="0"/>
                <w:sz w:val="18"/>
                <w:szCs w:val="18"/>
              </w:rPr>
            </w:pPr>
            <w:r>
              <w:rPr>
                <w:rFonts w:hint="eastAsia" w:ascii="宋体" w:hAnsi="宋体" w:cs="宋体"/>
                <w:kern w:val="0"/>
                <w:sz w:val="18"/>
                <w:szCs w:val="18"/>
              </w:rPr>
              <w:t>工作协调不到位，专业能力不够，扣1分</w:t>
            </w: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snapToGrid w:val="0"/>
              <w:jc w:val="center"/>
              <w:rPr>
                <w:rFonts w:ascii="宋体" w:hAnsi="宋体" w:cs="宋体"/>
                <w:kern w:val="0"/>
                <w:sz w:val="18"/>
                <w:szCs w:val="18"/>
              </w:rPr>
            </w:pPr>
            <w:r>
              <w:rPr>
                <w:rFonts w:hint="eastAsia" w:ascii="宋体" w:hAnsi="宋体" w:cs="宋体"/>
                <w:kern w:val="0"/>
                <w:sz w:val="18"/>
                <w:szCs w:val="18"/>
              </w:rPr>
              <w:t>√</w:t>
            </w: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4" w:hRule="atLeast"/>
          <w:jc w:val="center"/>
        </w:trPr>
        <w:tc>
          <w:tcPr>
            <w:tcW w:w="441" w:type="dxa"/>
            <w:vMerge w:val="continue"/>
            <w:vAlign w:val="center"/>
          </w:tcPr>
          <w:p>
            <w:pPr>
              <w:widowControl/>
              <w:jc w:val="center"/>
              <w:rPr>
                <w:rFonts w:ascii="宋体" w:hAnsi="宋体" w:cs="宋体"/>
                <w:kern w:val="0"/>
                <w:sz w:val="18"/>
                <w:szCs w:val="18"/>
              </w:rPr>
            </w:pPr>
          </w:p>
        </w:tc>
        <w:tc>
          <w:tcPr>
            <w:tcW w:w="1260" w:type="dxa"/>
            <w:vMerge w:val="continue"/>
            <w:vAlign w:val="center"/>
          </w:tcPr>
          <w:p>
            <w:pPr>
              <w:widowControl/>
              <w:jc w:val="left"/>
              <w:rPr>
                <w:rFonts w:ascii="宋体" w:hAnsi="宋体" w:cs="宋体"/>
                <w:kern w:val="0"/>
                <w:sz w:val="18"/>
                <w:szCs w:val="18"/>
              </w:rPr>
            </w:pPr>
          </w:p>
        </w:tc>
        <w:tc>
          <w:tcPr>
            <w:tcW w:w="709" w:type="dxa"/>
            <w:vMerge w:val="continue"/>
            <w:vAlign w:val="center"/>
          </w:tcPr>
          <w:p>
            <w:pPr>
              <w:widowControl/>
              <w:jc w:val="center"/>
              <w:rPr>
                <w:rFonts w:ascii="宋体" w:hAnsi="宋体" w:cs="宋体"/>
                <w:kern w:val="0"/>
                <w:sz w:val="18"/>
                <w:szCs w:val="18"/>
              </w:rPr>
            </w:pPr>
          </w:p>
        </w:tc>
        <w:tc>
          <w:tcPr>
            <w:tcW w:w="2126" w:type="dxa"/>
            <w:tcBorders>
              <w:top w:val="single" w:color="auto" w:sz="4" w:space="0"/>
              <w:right w:val="single" w:color="auto" w:sz="4" w:space="0"/>
            </w:tcBorders>
            <w:vAlign w:val="center"/>
          </w:tcPr>
          <w:p>
            <w:pPr>
              <w:widowControl/>
              <w:snapToGrid w:val="0"/>
              <w:jc w:val="left"/>
              <w:rPr>
                <w:rFonts w:ascii="宋体" w:hAnsi="宋体" w:cs="宋体"/>
                <w:kern w:val="0"/>
                <w:sz w:val="18"/>
                <w:szCs w:val="18"/>
              </w:rPr>
            </w:pPr>
            <w:r>
              <w:rPr>
                <w:rFonts w:hint="eastAsia" w:ascii="宋体" w:hAnsi="宋体" w:cs="宋体"/>
                <w:kern w:val="0"/>
                <w:sz w:val="18"/>
                <w:szCs w:val="18"/>
              </w:rPr>
              <w:t>能与建设单位、主管部门、监理、施工等相关单位充分沟通</w:t>
            </w:r>
          </w:p>
        </w:tc>
        <w:tc>
          <w:tcPr>
            <w:tcW w:w="2552" w:type="dxa"/>
            <w:tcBorders>
              <w:left w:val="single" w:color="auto" w:sz="4" w:space="0"/>
            </w:tcBorders>
            <w:vAlign w:val="center"/>
          </w:tcPr>
          <w:p>
            <w:pPr>
              <w:widowControl/>
              <w:snapToGrid w:val="0"/>
              <w:jc w:val="left"/>
              <w:rPr>
                <w:rFonts w:ascii="宋体" w:hAnsi="宋体" w:cs="宋体"/>
                <w:kern w:val="0"/>
                <w:sz w:val="18"/>
                <w:szCs w:val="18"/>
              </w:rPr>
            </w:pPr>
            <w:r>
              <w:rPr>
                <w:rFonts w:hint="eastAsia" w:ascii="宋体" w:hAnsi="宋体" w:cs="宋体"/>
                <w:kern w:val="0"/>
                <w:sz w:val="18"/>
                <w:szCs w:val="18"/>
              </w:rPr>
              <w:t>1、与相关参建单位没及时沟通；</w:t>
            </w:r>
            <w:r>
              <w:rPr>
                <w:rFonts w:hint="eastAsia" w:ascii="宋体" w:hAnsi="宋体" w:cs="宋体"/>
                <w:kern w:val="0"/>
                <w:sz w:val="18"/>
                <w:szCs w:val="18"/>
              </w:rPr>
              <w:br w:type="textWrapping"/>
            </w:r>
            <w:r>
              <w:rPr>
                <w:rFonts w:hint="eastAsia" w:ascii="宋体" w:hAnsi="宋体" w:cs="宋体"/>
                <w:kern w:val="0"/>
                <w:sz w:val="18"/>
                <w:szCs w:val="18"/>
              </w:rPr>
              <w:t>2、不参加</w:t>
            </w:r>
            <w:r>
              <w:rPr>
                <w:rFonts w:hint="eastAsia" w:ascii="宋体" w:hAnsi="宋体" w:cs="宋体"/>
                <w:kern w:val="0"/>
                <w:sz w:val="18"/>
                <w:szCs w:val="18"/>
                <w:lang w:eastAsia="zh-CN"/>
              </w:rPr>
              <w:t>发包人</w:t>
            </w:r>
            <w:r>
              <w:rPr>
                <w:rFonts w:hint="eastAsia" w:ascii="宋体" w:hAnsi="宋体" w:cs="宋体"/>
                <w:kern w:val="0"/>
                <w:sz w:val="18"/>
                <w:szCs w:val="18"/>
              </w:rPr>
              <w:t>组织的相关邀请会议。</w:t>
            </w:r>
            <w:r>
              <w:rPr>
                <w:rFonts w:hint="eastAsia" w:ascii="宋体" w:hAnsi="宋体" w:cs="宋体"/>
                <w:kern w:val="0"/>
                <w:sz w:val="18"/>
                <w:szCs w:val="18"/>
              </w:rPr>
              <w:br w:type="textWrapping"/>
            </w:r>
            <w:r>
              <w:rPr>
                <w:rFonts w:hint="eastAsia" w:ascii="宋体" w:hAnsi="宋体" w:cs="宋体"/>
                <w:kern w:val="0"/>
                <w:sz w:val="18"/>
                <w:szCs w:val="18"/>
              </w:rPr>
              <w:t>以上各项每发生一次扣0.5分</w:t>
            </w: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snapToGrid w:val="0"/>
              <w:jc w:val="center"/>
              <w:rPr>
                <w:rFonts w:ascii="宋体" w:hAnsi="宋体" w:cs="宋体"/>
                <w:kern w:val="0"/>
                <w:sz w:val="18"/>
                <w:szCs w:val="18"/>
              </w:rPr>
            </w:pPr>
            <w:r>
              <w:rPr>
                <w:rFonts w:hint="eastAsia" w:ascii="宋体" w:hAnsi="宋体" w:cs="宋体"/>
                <w:kern w:val="0"/>
                <w:sz w:val="18"/>
                <w:szCs w:val="18"/>
              </w:rPr>
              <w:t>√</w:t>
            </w: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32" w:hRule="atLeast"/>
          <w:jc w:val="center"/>
        </w:trPr>
        <w:tc>
          <w:tcPr>
            <w:tcW w:w="441"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1260" w:type="dxa"/>
            <w:vMerge w:val="restart"/>
            <w:vAlign w:val="center"/>
          </w:tcPr>
          <w:p>
            <w:pPr>
              <w:widowControl/>
              <w:jc w:val="left"/>
              <w:rPr>
                <w:rFonts w:ascii="宋体" w:hAnsi="宋体" w:cs="宋体"/>
                <w:kern w:val="0"/>
                <w:sz w:val="18"/>
                <w:szCs w:val="18"/>
              </w:rPr>
            </w:pPr>
            <w:r>
              <w:rPr>
                <w:rFonts w:hint="eastAsia" w:ascii="宋体" w:hAnsi="宋体" w:cs="宋体"/>
                <w:kern w:val="0"/>
                <w:sz w:val="18"/>
                <w:szCs w:val="18"/>
              </w:rPr>
              <w:t>作业人员</w:t>
            </w:r>
          </w:p>
        </w:tc>
        <w:tc>
          <w:tcPr>
            <w:tcW w:w="709"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2126" w:type="dxa"/>
            <w:tcBorders>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能严格按监测纲要及有关操作规程的要求开展工作</w:t>
            </w:r>
          </w:p>
        </w:tc>
        <w:tc>
          <w:tcPr>
            <w:tcW w:w="2552" w:type="dxa"/>
            <w:tcBorders>
              <w:left w:val="single" w:color="auto" w:sz="4" w:space="0"/>
              <w:bottom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未按按监测纲要及有关操作规程的要求开展工作，扣1分</w:t>
            </w:r>
          </w:p>
        </w:tc>
        <w:tc>
          <w:tcPr>
            <w:tcW w:w="567" w:type="dxa"/>
            <w:tcBorders>
              <w:bottom w:val="single" w:color="auto" w:sz="4" w:space="0"/>
            </w:tcBorders>
            <w:vAlign w:val="center"/>
          </w:tcPr>
          <w:p>
            <w:pPr>
              <w:widowControl/>
              <w:jc w:val="center"/>
              <w:rPr>
                <w:rFonts w:ascii="宋体" w:hAnsi="宋体" w:cs="宋体"/>
                <w:kern w:val="0"/>
                <w:sz w:val="18"/>
                <w:szCs w:val="18"/>
              </w:rPr>
            </w:pPr>
          </w:p>
        </w:tc>
        <w:tc>
          <w:tcPr>
            <w:tcW w:w="850" w:type="dxa"/>
            <w:tcBorders>
              <w:bottom w:val="single" w:color="auto" w:sz="4" w:space="0"/>
            </w:tcBorders>
            <w:vAlign w:val="center"/>
          </w:tcPr>
          <w:p>
            <w:pPr>
              <w:widowControl/>
              <w:snapToGrid w:val="0"/>
              <w:jc w:val="center"/>
              <w:rPr>
                <w:rFonts w:ascii="宋体" w:hAnsi="宋体" w:cs="宋体"/>
                <w:kern w:val="0"/>
                <w:sz w:val="18"/>
                <w:szCs w:val="18"/>
              </w:rPr>
            </w:pPr>
            <w:r>
              <w:rPr>
                <w:rFonts w:hint="eastAsia" w:ascii="宋体" w:hAnsi="宋体" w:cs="宋体"/>
                <w:kern w:val="0"/>
                <w:sz w:val="18"/>
                <w:szCs w:val="18"/>
              </w:rPr>
              <w:t>√</w:t>
            </w:r>
          </w:p>
        </w:tc>
        <w:tc>
          <w:tcPr>
            <w:tcW w:w="851" w:type="dxa"/>
            <w:tcBorders>
              <w:bottom w:val="single" w:color="auto" w:sz="4" w:space="0"/>
            </w:tcBorders>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21" w:hRule="atLeast"/>
          <w:jc w:val="center"/>
        </w:trPr>
        <w:tc>
          <w:tcPr>
            <w:tcW w:w="441" w:type="dxa"/>
            <w:vMerge w:val="continue"/>
            <w:vAlign w:val="center"/>
          </w:tcPr>
          <w:p>
            <w:pPr>
              <w:widowControl/>
              <w:jc w:val="center"/>
              <w:rPr>
                <w:rFonts w:ascii="宋体" w:hAnsi="宋体" w:cs="宋体"/>
                <w:kern w:val="0"/>
                <w:sz w:val="18"/>
                <w:szCs w:val="18"/>
              </w:rPr>
            </w:pPr>
          </w:p>
        </w:tc>
        <w:tc>
          <w:tcPr>
            <w:tcW w:w="1260" w:type="dxa"/>
            <w:vMerge w:val="continue"/>
            <w:vAlign w:val="center"/>
          </w:tcPr>
          <w:p>
            <w:pPr>
              <w:widowControl/>
              <w:jc w:val="left"/>
              <w:rPr>
                <w:rFonts w:ascii="宋体" w:hAnsi="宋体" w:cs="宋体"/>
                <w:kern w:val="0"/>
                <w:sz w:val="18"/>
                <w:szCs w:val="18"/>
              </w:rPr>
            </w:pPr>
          </w:p>
        </w:tc>
        <w:tc>
          <w:tcPr>
            <w:tcW w:w="709" w:type="dxa"/>
            <w:vMerge w:val="continue"/>
            <w:vAlign w:val="center"/>
          </w:tcPr>
          <w:p>
            <w:pPr>
              <w:widowControl/>
              <w:jc w:val="center"/>
              <w:rPr>
                <w:rFonts w:ascii="宋体" w:hAnsi="宋体" w:cs="宋体"/>
                <w:kern w:val="0"/>
                <w:sz w:val="18"/>
                <w:szCs w:val="18"/>
              </w:rPr>
            </w:pPr>
          </w:p>
        </w:tc>
        <w:tc>
          <w:tcPr>
            <w:tcW w:w="2126" w:type="dxa"/>
            <w:tcBorders>
              <w:top w:val="single" w:color="auto" w:sz="4"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能严格按现场实际情况留下工作印证记录</w:t>
            </w:r>
          </w:p>
        </w:tc>
        <w:tc>
          <w:tcPr>
            <w:tcW w:w="2552" w:type="dxa"/>
            <w:tcBorders>
              <w:top w:val="single" w:color="auto" w:sz="4" w:space="0"/>
              <w:left w:val="single" w:color="auto" w:sz="4" w:space="0"/>
              <w:bottom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未留下现场工作印证记录，扣1分</w:t>
            </w:r>
          </w:p>
        </w:tc>
        <w:tc>
          <w:tcPr>
            <w:tcW w:w="567" w:type="dxa"/>
            <w:tcBorders>
              <w:top w:val="single" w:color="auto" w:sz="4" w:space="0"/>
              <w:bottom w:val="single" w:color="auto" w:sz="4" w:space="0"/>
            </w:tcBorders>
            <w:vAlign w:val="center"/>
          </w:tcPr>
          <w:p>
            <w:pPr>
              <w:widowControl/>
              <w:jc w:val="center"/>
              <w:rPr>
                <w:rFonts w:ascii="宋体" w:hAnsi="宋体" w:cs="宋体"/>
                <w:kern w:val="0"/>
                <w:sz w:val="18"/>
                <w:szCs w:val="18"/>
              </w:rPr>
            </w:pPr>
          </w:p>
        </w:tc>
        <w:tc>
          <w:tcPr>
            <w:tcW w:w="850" w:type="dxa"/>
            <w:tcBorders>
              <w:top w:val="single" w:color="auto" w:sz="4" w:space="0"/>
              <w:bottom w:val="single" w:color="auto" w:sz="4" w:space="0"/>
            </w:tcBorders>
            <w:vAlign w:val="center"/>
          </w:tcPr>
          <w:p>
            <w:pPr>
              <w:widowControl/>
              <w:snapToGrid w:val="0"/>
              <w:jc w:val="center"/>
              <w:rPr>
                <w:rFonts w:ascii="宋体" w:hAnsi="宋体" w:cs="宋体"/>
                <w:kern w:val="0"/>
                <w:sz w:val="18"/>
                <w:szCs w:val="18"/>
              </w:rPr>
            </w:pPr>
            <w:r>
              <w:rPr>
                <w:rFonts w:hint="eastAsia" w:ascii="宋体" w:hAnsi="宋体" w:cs="宋体"/>
                <w:kern w:val="0"/>
                <w:sz w:val="18"/>
                <w:szCs w:val="18"/>
              </w:rPr>
              <w:t>√</w:t>
            </w:r>
          </w:p>
        </w:tc>
        <w:tc>
          <w:tcPr>
            <w:tcW w:w="851" w:type="dxa"/>
            <w:tcBorders>
              <w:top w:val="single" w:color="auto" w:sz="4" w:space="0"/>
              <w:bottom w:val="single" w:color="auto" w:sz="4" w:space="0"/>
            </w:tcBorders>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11" w:hRule="atLeast"/>
          <w:jc w:val="center"/>
        </w:trPr>
        <w:tc>
          <w:tcPr>
            <w:tcW w:w="441" w:type="dxa"/>
            <w:vMerge w:val="continue"/>
            <w:vAlign w:val="center"/>
          </w:tcPr>
          <w:p>
            <w:pPr>
              <w:widowControl/>
              <w:jc w:val="center"/>
              <w:rPr>
                <w:rFonts w:ascii="宋体" w:hAnsi="宋体" w:cs="宋体"/>
                <w:kern w:val="0"/>
                <w:sz w:val="18"/>
                <w:szCs w:val="18"/>
              </w:rPr>
            </w:pPr>
          </w:p>
        </w:tc>
        <w:tc>
          <w:tcPr>
            <w:tcW w:w="1260" w:type="dxa"/>
            <w:vMerge w:val="continue"/>
            <w:vAlign w:val="center"/>
          </w:tcPr>
          <w:p>
            <w:pPr>
              <w:widowControl/>
              <w:jc w:val="left"/>
              <w:rPr>
                <w:rFonts w:ascii="宋体" w:hAnsi="宋体" w:cs="宋体"/>
                <w:kern w:val="0"/>
                <w:sz w:val="18"/>
                <w:szCs w:val="18"/>
              </w:rPr>
            </w:pPr>
          </w:p>
        </w:tc>
        <w:tc>
          <w:tcPr>
            <w:tcW w:w="709" w:type="dxa"/>
            <w:vMerge w:val="continue"/>
            <w:tcBorders>
              <w:bottom w:val="single" w:color="auto" w:sz="6" w:space="0"/>
            </w:tcBorders>
            <w:vAlign w:val="center"/>
          </w:tcPr>
          <w:p>
            <w:pPr>
              <w:widowControl/>
              <w:jc w:val="center"/>
              <w:rPr>
                <w:rFonts w:ascii="宋体" w:hAnsi="宋体" w:cs="宋体"/>
                <w:kern w:val="0"/>
                <w:sz w:val="18"/>
                <w:szCs w:val="18"/>
              </w:rPr>
            </w:pPr>
          </w:p>
        </w:tc>
        <w:tc>
          <w:tcPr>
            <w:tcW w:w="2126" w:type="dxa"/>
            <w:tcBorders>
              <w:top w:val="single" w:color="auto" w:sz="4" w:space="0"/>
              <w:bottom w:val="single" w:color="auto" w:sz="6"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能主动办理监测进场事宜，积极协调解决监测过程中的各种问题</w:t>
            </w:r>
          </w:p>
        </w:tc>
        <w:tc>
          <w:tcPr>
            <w:tcW w:w="2552" w:type="dxa"/>
            <w:tcBorders>
              <w:top w:val="single" w:color="auto" w:sz="4" w:space="0"/>
              <w:lef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现场遇到问题，不能积极及时解决，扣1分</w:t>
            </w:r>
          </w:p>
        </w:tc>
        <w:tc>
          <w:tcPr>
            <w:tcW w:w="567" w:type="dxa"/>
            <w:tcBorders>
              <w:top w:val="single" w:color="auto" w:sz="4" w:space="0"/>
            </w:tcBorders>
            <w:vAlign w:val="center"/>
          </w:tcPr>
          <w:p>
            <w:pPr>
              <w:widowControl/>
              <w:jc w:val="center"/>
              <w:rPr>
                <w:rFonts w:ascii="宋体" w:hAnsi="宋体" w:cs="宋体"/>
                <w:kern w:val="0"/>
                <w:sz w:val="18"/>
                <w:szCs w:val="18"/>
              </w:rPr>
            </w:pPr>
          </w:p>
        </w:tc>
        <w:tc>
          <w:tcPr>
            <w:tcW w:w="850" w:type="dxa"/>
            <w:tcBorders>
              <w:top w:val="single" w:color="auto" w:sz="4" w:space="0"/>
            </w:tcBorders>
            <w:vAlign w:val="center"/>
          </w:tcPr>
          <w:p>
            <w:pPr>
              <w:widowControl/>
              <w:snapToGrid w:val="0"/>
              <w:jc w:val="center"/>
              <w:rPr>
                <w:rFonts w:ascii="宋体" w:hAnsi="宋体" w:cs="宋体"/>
                <w:kern w:val="0"/>
                <w:sz w:val="18"/>
                <w:szCs w:val="18"/>
              </w:rPr>
            </w:pPr>
            <w:r>
              <w:rPr>
                <w:rFonts w:hint="eastAsia" w:ascii="宋体" w:hAnsi="宋体" w:cs="宋体"/>
                <w:kern w:val="0"/>
                <w:sz w:val="18"/>
                <w:szCs w:val="18"/>
              </w:rPr>
              <w:t>√</w:t>
            </w:r>
          </w:p>
        </w:tc>
        <w:tc>
          <w:tcPr>
            <w:tcW w:w="851" w:type="dxa"/>
            <w:tcBorders>
              <w:top w:val="single" w:color="auto" w:sz="4" w:space="0"/>
            </w:tcBorders>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41" w:type="dxa"/>
            <w:vAlign w:val="center"/>
          </w:tcPr>
          <w:p>
            <w:pPr>
              <w:widowControl/>
              <w:jc w:val="center"/>
              <w:rPr>
                <w:rFonts w:ascii="黑体" w:hAnsi="宋体" w:eastAsia="黑体" w:cs="宋体"/>
                <w:kern w:val="0"/>
                <w:sz w:val="24"/>
              </w:rPr>
            </w:pPr>
            <w:r>
              <w:rPr>
                <w:rFonts w:hint="eastAsia" w:ascii="黑体" w:hAnsi="宋体" w:eastAsia="黑体" w:cs="宋体"/>
                <w:kern w:val="0"/>
                <w:sz w:val="24"/>
              </w:rPr>
              <w:t>二</w:t>
            </w:r>
          </w:p>
        </w:tc>
        <w:tc>
          <w:tcPr>
            <w:tcW w:w="1260" w:type="dxa"/>
            <w:vAlign w:val="center"/>
          </w:tcPr>
          <w:p>
            <w:pPr>
              <w:widowControl/>
              <w:jc w:val="left"/>
              <w:rPr>
                <w:rFonts w:ascii="黑体" w:hAnsi="宋体" w:eastAsia="黑体" w:cs="宋体"/>
                <w:kern w:val="0"/>
                <w:sz w:val="24"/>
              </w:rPr>
            </w:pPr>
            <w:r>
              <w:rPr>
                <w:rFonts w:hint="eastAsia" w:ascii="黑体" w:hAnsi="宋体" w:eastAsia="黑体" w:cs="宋体"/>
                <w:kern w:val="0"/>
                <w:sz w:val="24"/>
              </w:rPr>
              <w:t>履约质量</w:t>
            </w:r>
          </w:p>
        </w:tc>
        <w:tc>
          <w:tcPr>
            <w:tcW w:w="709" w:type="dxa"/>
            <w:tcBorders>
              <w:top w:val="single" w:color="auto" w:sz="6" w:space="0"/>
              <w:bottom w:val="single" w:color="auto" w:sz="6" w:space="0"/>
            </w:tcBorders>
            <w:vAlign w:val="center"/>
          </w:tcPr>
          <w:p>
            <w:pPr>
              <w:widowControl/>
              <w:jc w:val="center"/>
              <w:rPr>
                <w:rFonts w:ascii="黑体" w:hAnsi="宋体" w:eastAsia="黑体" w:cs="宋体"/>
                <w:b/>
                <w:kern w:val="0"/>
                <w:sz w:val="24"/>
              </w:rPr>
            </w:pPr>
            <w:r>
              <w:rPr>
                <w:rFonts w:hint="eastAsia" w:ascii="黑体" w:hAnsi="宋体" w:eastAsia="黑体" w:cs="宋体"/>
                <w:b/>
                <w:kern w:val="0"/>
                <w:sz w:val="24"/>
              </w:rPr>
              <w:t>70</w:t>
            </w:r>
          </w:p>
        </w:tc>
        <w:tc>
          <w:tcPr>
            <w:tcW w:w="2126" w:type="dxa"/>
            <w:tcBorders>
              <w:top w:val="single" w:color="auto" w:sz="6" w:space="0"/>
              <w:bottom w:val="single" w:color="auto" w:sz="6" w:space="0"/>
              <w:right w:val="single" w:color="auto" w:sz="4" w:space="0"/>
            </w:tcBorders>
            <w:vAlign w:val="center"/>
          </w:tcPr>
          <w:p>
            <w:pPr>
              <w:widowControl/>
              <w:spacing w:line="240" w:lineRule="exact"/>
              <w:jc w:val="left"/>
              <w:rPr>
                <w:rFonts w:ascii="宋体" w:hAnsi="宋体" w:cs="宋体"/>
                <w:kern w:val="0"/>
                <w:sz w:val="18"/>
                <w:szCs w:val="18"/>
              </w:rPr>
            </w:pPr>
          </w:p>
        </w:tc>
        <w:tc>
          <w:tcPr>
            <w:tcW w:w="2552" w:type="dxa"/>
            <w:tcBorders>
              <w:left w:val="single" w:color="auto" w:sz="4" w:space="0"/>
            </w:tcBorders>
            <w:vAlign w:val="center"/>
          </w:tcPr>
          <w:p>
            <w:pPr>
              <w:widowControl/>
              <w:spacing w:line="240" w:lineRule="exact"/>
              <w:jc w:val="left"/>
              <w:rPr>
                <w:rFonts w:ascii="宋体" w:hAnsi="宋体" w:cs="宋体"/>
                <w:kern w:val="0"/>
                <w:sz w:val="18"/>
                <w:szCs w:val="18"/>
              </w:rPr>
            </w:pP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8" w:hRule="atLeast"/>
          <w:jc w:val="center"/>
        </w:trPr>
        <w:tc>
          <w:tcPr>
            <w:tcW w:w="441"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1260" w:type="dxa"/>
            <w:vMerge w:val="restart"/>
            <w:vAlign w:val="center"/>
          </w:tcPr>
          <w:p>
            <w:pPr>
              <w:widowControl/>
              <w:jc w:val="left"/>
              <w:rPr>
                <w:rFonts w:ascii="宋体" w:hAnsi="宋体" w:cs="宋体"/>
                <w:kern w:val="0"/>
                <w:sz w:val="18"/>
                <w:szCs w:val="18"/>
              </w:rPr>
            </w:pPr>
            <w:r>
              <w:rPr>
                <w:rFonts w:hint="eastAsia" w:ascii="宋体" w:hAnsi="宋体" w:cs="宋体"/>
                <w:kern w:val="0"/>
                <w:sz w:val="18"/>
                <w:szCs w:val="18"/>
              </w:rPr>
              <w:t>监测纲要</w:t>
            </w:r>
          </w:p>
          <w:p>
            <w:pPr>
              <w:widowControl/>
              <w:jc w:val="left"/>
              <w:rPr>
                <w:rFonts w:ascii="宋体" w:hAnsi="宋体" w:cs="宋体"/>
                <w:kern w:val="0"/>
                <w:sz w:val="18"/>
                <w:szCs w:val="18"/>
              </w:rPr>
            </w:pPr>
            <w:r>
              <w:rPr>
                <w:rFonts w:hint="eastAsia" w:ascii="宋体" w:hAnsi="宋体" w:cs="宋体"/>
                <w:kern w:val="0"/>
                <w:sz w:val="18"/>
                <w:szCs w:val="18"/>
              </w:rPr>
              <w:t>（监测技术方案）</w:t>
            </w:r>
          </w:p>
        </w:tc>
        <w:tc>
          <w:tcPr>
            <w:tcW w:w="709" w:type="dxa"/>
            <w:vMerge w:val="restart"/>
            <w:tcBorders>
              <w:top w:val="single" w:color="auto" w:sz="6"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2126" w:type="dxa"/>
            <w:tcBorders>
              <w:top w:val="single" w:color="auto" w:sz="6" w:space="0"/>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积极主动踏勘现场、充分收集利用附近地质资料和建筑经验，资料齐全。</w:t>
            </w:r>
          </w:p>
        </w:tc>
        <w:tc>
          <w:tcPr>
            <w:tcW w:w="2552" w:type="dxa"/>
            <w:tcBorders>
              <w:left w:val="single" w:color="auto" w:sz="4" w:space="0"/>
              <w:bottom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1、监测任务下达后，3天内未能踏勘现场；</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2、未积极主动收集附近既有建筑或工地的监测资料；</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每发生一项扣1分</w:t>
            </w:r>
          </w:p>
        </w:tc>
        <w:tc>
          <w:tcPr>
            <w:tcW w:w="567" w:type="dxa"/>
            <w:tcBorders>
              <w:bottom w:val="single" w:color="auto" w:sz="4" w:space="0"/>
            </w:tcBorders>
            <w:vAlign w:val="center"/>
          </w:tcPr>
          <w:p>
            <w:pPr>
              <w:widowControl/>
              <w:jc w:val="center"/>
              <w:rPr>
                <w:rFonts w:ascii="宋体" w:hAnsi="宋体" w:cs="宋体"/>
                <w:kern w:val="0"/>
                <w:sz w:val="18"/>
                <w:szCs w:val="18"/>
              </w:rPr>
            </w:pPr>
          </w:p>
        </w:tc>
        <w:tc>
          <w:tcPr>
            <w:tcW w:w="850" w:type="dxa"/>
            <w:tcBorders>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851" w:type="dxa"/>
            <w:tcBorders>
              <w:bottom w:val="single" w:color="auto" w:sz="4" w:space="0"/>
            </w:tcBorders>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55" w:hRule="atLeast"/>
          <w:jc w:val="center"/>
        </w:trPr>
        <w:tc>
          <w:tcPr>
            <w:tcW w:w="441" w:type="dxa"/>
            <w:vMerge w:val="continue"/>
            <w:vAlign w:val="center"/>
          </w:tcPr>
          <w:p>
            <w:pPr>
              <w:widowControl/>
              <w:jc w:val="center"/>
              <w:rPr>
                <w:rFonts w:ascii="宋体" w:hAnsi="宋体" w:cs="宋体"/>
                <w:kern w:val="0"/>
                <w:sz w:val="18"/>
                <w:szCs w:val="18"/>
              </w:rPr>
            </w:pPr>
          </w:p>
        </w:tc>
        <w:tc>
          <w:tcPr>
            <w:tcW w:w="1260" w:type="dxa"/>
            <w:vMerge w:val="continue"/>
            <w:vAlign w:val="center"/>
          </w:tcPr>
          <w:p>
            <w:pPr>
              <w:widowControl/>
              <w:jc w:val="left"/>
              <w:rPr>
                <w:rFonts w:ascii="宋体" w:hAnsi="宋体" w:cs="宋体"/>
                <w:kern w:val="0"/>
                <w:sz w:val="18"/>
                <w:szCs w:val="18"/>
              </w:rPr>
            </w:pPr>
          </w:p>
        </w:tc>
        <w:tc>
          <w:tcPr>
            <w:tcW w:w="709" w:type="dxa"/>
            <w:vMerge w:val="continue"/>
            <w:vAlign w:val="center"/>
          </w:tcPr>
          <w:p>
            <w:pPr>
              <w:widowControl/>
              <w:jc w:val="center"/>
              <w:rPr>
                <w:rFonts w:ascii="宋体" w:hAnsi="宋体" w:cs="宋体"/>
                <w:kern w:val="0"/>
                <w:sz w:val="18"/>
                <w:szCs w:val="18"/>
              </w:rPr>
            </w:pPr>
          </w:p>
        </w:tc>
        <w:tc>
          <w:tcPr>
            <w:tcW w:w="2126" w:type="dxa"/>
            <w:tcBorders>
              <w:top w:val="single" w:color="auto" w:sz="4" w:space="0"/>
              <w:bottom w:val="single" w:color="auto" w:sz="4" w:space="0"/>
              <w:right w:val="single" w:color="auto" w:sz="4" w:space="0"/>
            </w:tcBorders>
            <w:vAlign w:val="center"/>
          </w:tcPr>
          <w:p>
            <w:pPr>
              <w:spacing w:line="240" w:lineRule="exact"/>
              <w:jc w:val="left"/>
              <w:rPr>
                <w:rFonts w:ascii="宋体" w:hAnsi="宋体" w:cs="宋体"/>
                <w:b/>
                <w:kern w:val="0"/>
                <w:sz w:val="18"/>
                <w:szCs w:val="18"/>
              </w:rPr>
            </w:pPr>
            <w:r>
              <w:rPr>
                <w:rFonts w:hint="eastAsia" w:ascii="宋体" w:hAnsi="宋体" w:cs="宋体"/>
                <w:kern w:val="0"/>
                <w:sz w:val="18"/>
                <w:szCs w:val="18"/>
              </w:rPr>
              <w:t>全面落实设计及合同对监测的要求、对拟建场地的地质、水文地质条件进行深入地分析，提出的工作方案经济合理且满足监测任务书、规范和工期要求。</w:t>
            </w:r>
          </w:p>
        </w:tc>
        <w:tc>
          <w:tcPr>
            <w:tcW w:w="2552" w:type="dxa"/>
            <w:tcBorders>
              <w:top w:val="single" w:color="auto" w:sz="4" w:space="0"/>
              <w:left w:val="single" w:color="auto" w:sz="4" w:space="0"/>
              <w:bottom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1、未编制监测纲要；</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2、监测纲要提出的工作方案不经济、工期不合理；</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每发生一项扣1分</w:t>
            </w:r>
          </w:p>
        </w:tc>
        <w:tc>
          <w:tcPr>
            <w:tcW w:w="567" w:type="dxa"/>
            <w:tcBorders>
              <w:top w:val="single" w:color="auto" w:sz="4" w:space="0"/>
              <w:bottom w:val="single" w:color="auto" w:sz="4" w:space="0"/>
            </w:tcBorders>
            <w:vAlign w:val="center"/>
          </w:tcPr>
          <w:p>
            <w:pPr>
              <w:widowControl/>
              <w:jc w:val="center"/>
              <w:rPr>
                <w:rFonts w:ascii="宋体" w:hAnsi="宋体" w:cs="宋体"/>
                <w:kern w:val="0"/>
                <w:sz w:val="18"/>
                <w:szCs w:val="18"/>
              </w:rPr>
            </w:pPr>
          </w:p>
        </w:tc>
        <w:tc>
          <w:tcPr>
            <w:tcW w:w="850" w:type="dxa"/>
            <w:tcBorders>
              <w:top w:val="single" w:color="auto" w:sz="4" w:space="0"/>
              <w:bottom w:val="single" w:color="auto" w:sz="4" w:space="0"/>
            </w:tcBorders>
            <w:vAlign w:val="center"/>
          </w:tcPr>
          <w:p>
            <w:pPr>
              <w:widowControl/>
              <w:jc w:val="center"/>
              <w:rPr>
                <w:rFonts w:ascii="宋体" w:hAnsi="宋体" w:cs="宋体"/>
                <w:kern w:val="0"/>
                <w:sz w:val="18"/>
                <w:szCs w:val="18"/>
              </w:rPr>
            </w:pPr>
          </w:p>
        </w:tc>
        <w:tc>
          <w:tcPr>
            <w:tcW w:w="851" w:type="dxa"/>
            <w:tcBorders>
              <w:top w:val="single" w:color="auto" w:sz="4" w:space="0"/>
              <w:bottom w:val="single" w:color="auto" w:sz="4" w:space="0"/>
            </w:tcBorders>
            <w:vAlign w:val="center"/>
          </w:tcPr>
          <w:p>
            <w:pPr>
              <w:widowControl/>
              <w:jc w:val="center"/>
              <w:rPr>
                <w:rFonts w:ascii="宋体" w:hAnsi="宋体" w:cs="宋体"/>
                <w:b/>
                <w:kern w:val="0"/>
                <w:sz w:val="18"/>
                <w:szCs w:val="18"/>
              </w:rPr>
            </w:pPr>
            <w:r>
              <w:rPr>
                <w:rFonts w:hint="eastAsia" w:ascii="宋体" w:hAnsi="宋体" w:cs="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8" w:hRule="atLeast"/>
          <w:jc w:val="center"/>
        </w:trPr>
        <w:tc>
          <w:tcPr>
            <w:tcW w:w="441" w:type="dxa"/>
            <w:vMerge w:val="continue"/>
            <w:vAlign w:val="center"/>
          </w:tcPr>
          <w:p>
            <w:pPr>
              <w:widowControl/>
              <w:jc w:val="center"/>
              <w:rPr>
                <w:rFonts w:ascii="宋体" w:hAnsi="宋体" w:cs="宋体"/>
                <w:kern w:val="0"/>
                <w:sz w:val="18"/>
                <w:szCs w:val="18"/>
              </w:rPr>
            </w:pPr>
          </w:p>
        </w:tc>
        <w:tc>
          <w:tcPr>
            <w:tcW w:w="1260" w:type="dxa"/>
            <w:vMerge w:val="continue"/>
            <w:vAlign w:val="center"/>
          </w:tcPr>
          <w:p>
            <w:pPr>
              <w:widowControl/>
              <w:jc w:val="left"/>
              <w:rPr>
                <w:rFonts w:ascii="宋体" w:hAnsi="宋体" w:cs="宋体"/>
                <w:kern w:val="0"/>
                <w:sz w:val="18"/>
                <w:szCs w:val="18"/>
              </w:rPr>
            </w:pPr>
          </w:p>
        </w:tc>
        <w:tc>
          <w:tcPr>
            <w:tcW w:w="709" w:type="dxa"/>
            <w:vMerge w:val="continue"/>
            <w:vAlign w:val="center"/>
          </w:tcPr>
          <w:p>
            <w:pPr>
              <w:widowControl/>
              <w:jc w:val="center"/>
              <w:rPr>
                <w:rFonts w:ascii="宋体" w:hAnsi="宋体" w:cs="宋体"/>
                <w:kern w:val="0"/>
                <w:sz w:val="18"/>
                <w:szCs w:val="18"/>
              </w:rPr>
            </w:pPr>
          </w:p>
        </w:tc>
        <w:tc>
          <w:tcPr>
            <w:tcW w:w="2126" w:type="dxa"/>
            <w:tcBorders>
              <w:top w:val="single" w:color="auto" w:sz="4" w:space="0"/>
              <w:bottom w:val="single" w:color="auto" w:sz="4" w:space="0"/>
              <w:right w:val="single" w:color="auto" w:sz="4" w:space="0"/>
            </w:tcBorders>
            <w:vAlign w:val="center"/>
          </w:tcPr>
          <w:p>
            <w:pPr>
              <w:spacing w:line="240" w:lineRule="exact"/>
              <w:jc w:val="left"/>
              <w:rPr>
                <w:rFonts w:ascii="宋体" w:hAnsi="宋体" w:cs="宋体"/>
                <w:b/>
                <w:kern w:val="0"/>
                <w:sz w:val="18"/>
                <w:szCs w:val="18"/>
              </w:rPr>
            </w:pPr>
            <w:r>
              <w:rPr>
                <w:rFonts w:hint="eastAsia" w:ascii="宋体" w:hAnsi="宋体" w:cs="宋体"/>
                <w:kern w:val="0"/>
                <w:sz w:val="18"/>
                <w:szCs w:val="18"/>
              </w:rPr>
              <w:t>监测网点的布置、数量、深度、测试要求等均符合规范规定，以恰当的监测工作量或采用新技术解决关键技术问题。</w:t>
            </w:r>
          </w:p>
        </w:tc>
        <w:tc>
          <w:tcPr>
            <w:tcW w:w="2552" w:type="dxa"/>
            <w:tcBorders>
              <w:top w:val="single" w:color="auto" w:sz="4" w:space="0"/>
              <w:left w:val="single" w:color="auto" w:sz="4" w:space="0"/>
              <w:bottom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1、监测纲要不符合规范规定或设计要求；</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2、监测纲要提出的工作量不满足规范要求，或私自增减设计要求的监测工作量；每发生一项扣1分</w:t>
            </w:r>
          </w:p>
        </w:tc>
        <w:tc>
          <w:tcPr>
            <w:tcW w:w="567" w:type="dxa"/>
            <w:tcBorders>
              <w:top w:val="single" w:color="auto" w:sz="4" w:space="0"/>
              <w:bottom w:val="single" w:color="auto" w:sz="4" w:space="0"/>
            </w:tcBorders>
            <w:vAlign w:val="center"/>
          </w:tcPr>
          <w:p>
            <w:pPr>
              <w:widowControl/>
              <w:jc w:val="center"/>
              <w:rPr>
                <w:rFonts w:ascii="宋体" w:hAnsi="宋体" w:cs="宋体"/>
                <w:kern w:val="0"/>
                <w:sz w:val="18"/>
                <w:szCs w:val="18"/>
              </w:rPr>
            </w:pPr>
          </w:p>
        </w:tc>
        <w:tc>
          <w:tcPr>
            <w:tcW w:w="850" w:type="dxa"/>
            <w:tcBorders>
              <w:top w:val="single" w:color="auto" w:sz="4" w:space="0"/>
              <w:bottom w:val="single" w:color="auto" w:sz="4" w:space="0"/>
            </w:tcBorders>
            <w:vAlign w:val="center"/>
          </w:tcPr>
          <w:p>
            <w:pPr>
              <w:widowControl/>
              <w:jc w:val="center"/>
              <w:rPr>
                <w:rFonts w:ascii="宋体" w:hAnsi="宋体" w:cs="宋体"/>
                <w:kern w:val="0"/>
                <w:sz w:val="18"/>
                <w:szCs w:val="18"/>
              </w:rPr>
            </w:pPr>
          </w:p>
        </w:tc>
        <w:tc>
          <w:tcPr>
            <w:tcW w:w="851" w:type="dxa"/>
            <w:tcBorders>
              <w:top w:val="single" w:color="auto" w:sz="4" w:space="0"/>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8" w:hRule="atLeast"/>
          <w:jc w:val="center"/>
        </w:trPr>
        <w:tc>
          <w:tcPr>
            <w:tcW w:w="441" w:type="dxa"/>
            <w:vMerge w:val="continue"/>
            <w:tcBorders>
              <w:bottom w:val="single" w:color="auto" w:sz="4" w:space="0"/>
            </w:tcBorders>
            <w:vAlign w:val="center"/>
          </w:tcPr>
          <w:p>
            <w:pPr>
              <w:widowControl/>
              <w:jc w:val="center"/>
              <w:rPr>
                <w:rFonts w:ascii="宋体" w:hAnsi="宋体" w:cs="宋体"/>
                <w:kern w:val="0"/>
                <w:sz w:val="18"/>
                <w:szCs w:val="18"/>
              </w:rPr>
            </w:pPr>
          </w:p>
        </w:tc>
        <w:tc>
          <w:tcPr>
            <w:tcW w:w="1260" w:type="dxa"/>
            <w:vMerge w:val="continue"/>
            <w:tcBorders>
              <w:bottom w:val="single" w:color="auto" w:sz="4" w:space="0"/>
            </w:tcBorders>
            <w:vAlign w:val="center"/>
          </w:tcPr>
          <w:p>
            <w:pPr>
              <w:widowControl/>
              <w:jc w:val="left"/>
              <w:rPr>
                <w:rFonts w:ascii="宋体" w:hAnsi="宋体" w:cs="宋体"/>
                <w:kern w:val="0"/>
                <w:sz w:val="18"/>
                <w:szCs w:val="18"/>
              </w:rPr>
            </w:pPr>
          </w:p>
        </w:tc>
        <w:tc>
          <w:tcPr>
            <w:tcW w:w="709" w:type="dxa"/>
            <w:vMerge w:val="continue"/>
            <w:tcBorders>
              <w:bottom w:val="single" w:color="auto" w:sz="4" w:space="0"/>
            </w:tcBorders>
            <w:vAlign w:val="center"/>
          </w:tcPr>
          <w:p>
            <w:pPr>
              <w:widowControl/>
              <w:jc w:val="center"/>
              <w:rPr>
                <w:rFonts w:ascii="宋体" w:hAnsi="宋体" w:cs="宋体"/>
                <w:kern w:val="0"/>
                <w:sz w:val="18"/>
                <w:szCs w:val="18"/>
              </w:rPr>
            </w:pPr>
          </w:p>
        </w:tc>
        <w:tc>
          <w:tcPr>
            <w:tcW w:w="2126" w:type="dxa"/>
            <w:tcBorders>
              <w:top w:val="single" w:color="auto" w:sz="4" w:space="0"/>
              <w:bottom w:val="single" w:color="auto" w:sz="4" w:space="0"/>
              <w:right w:val="single" w:color="auto" w:sz="4" w:space="0"/>
            </w:tcBorders>
            <w:vAlign w:val="center"/>
          </w:tcPr>
          <w:p>
            <w:pPr>
              <w:spacing w:line="240" w:lineRule="exact"/>
              <w:jc w:val="left"/>
              <w:rPr>
                <w:rFonts w:ascii="宋体" w:hAnsi="宋体" w:cs="宋体"/>
                <w:kern w:val="0"/>
                <w:sz w:val="18"/>
                <w:szCs w:val="18"/>
              </w:rPr>
            </w:pPr>
            <w:r>
              <w:rPr>
                <w:rFonts w:ascii="宋体" w:hAnsi="宋体" w:cs="宋体"/>
                <w:kern w:val="0"/>
                <w:sz w:val="18"/>
                <w:szCs w:val="18"/>
              </w:rPr>
              <w:t>地铁监测方案需及时通过港铁公司的审批，不因审批修改而耽误工期</w:t>
            </w:r>
            <w:r>
              <w:rPr>
                <w:rFonts w:hint="eastAsia" w:ascii="宋体" w:hAnsi="宋体" w:cs="宋体"/>
                <w:kern w:val="0"/>
                <w:sz w:val="18"/>
                <w:szCs w:val="18"/>
              </w:rPr>
              <w:t>。</w:t>
            </w:r>
          </w:p>
        </w:tc>
        <w:tc>
          <w:tcPr>
            <w:tcW w:w="2552" w:type="dxa"/>
            <w:tcBorders>
              <w:top w:val="single" w:color="auto" w:sz="4" w:space="0"/>
              <w:left w:val="single" w:color="auto" w:sz="4" w:space="0"/>
              <w:bottom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地铁监测方案</w:t>
            </w:r>
            <w:r>
              <w:rPr>
                <w:rFonts w:hint="eastAsia" w:ascii="宋体" w:hAnsi="宋体" w:cs="宋体"/>
                <w:kern w:val="0"/>
                <w:sz w:val="18"/>
                <w:szCs w:val="18"/>
              </w:rPr>
              <w:t>未</w:t>
            </w:r>
            <w:r>
              <w:rPr>
                <w:rFonts w:ascii="宋体" w:hAnsi="宋体" w:cs="宋体"/>
                <w:kern w:val="0"/>
                <w:sz w:val="18"/>
                <w:szCs w:val="18"/>
              </w:rPr>
              <w:t>及时通过港铁公司的审批</w:t>
            </w:r>
            <w:r>
              <w:rPr>
                <w:rFonts w:hint="eastAsia" w:ascii="宋体" w:hAnsi="宋体" w:cs="宋体"/>
                <w:kern w:val="0"/>
                <w:sz w:val="18"/>
                <w:szCs w:val="18"/>
              </w:rPr>
              <w:t>，扣2分；</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 xml:space="preserve">2、影响工期进度，扣5分； </w:t>
            </w:r>
          </w:p>
        </w:tc>
        <w:tc>
          <w:tcPr>
            <w:tcW w:w="567" w:type="dxa"/>
            <w:tcBorders>
              <w:top w:val="single" w:color="auto" w:sz="4" w:space="0"/>
              <w:bottom w:val="single" w:color="auto" w:sz="4" w:space="0"/>
            </w:tcBorders>
            <w:vAlign w:val="center"/>
          </w:tcPr>
          <w:p>
            <w:pPr>
              <w:widowControl/>
              <w:jc w:val="center"/>
              <w:rPr>
                <w:rFonts w:ascii="宋体" w:hAnsi="宋体" w:cs="宋体"/>
                <w:kern w:val="0"/>
                <w:sz w:val="18"/>
                <w:szCs w:val="18"/>
              </w:rPr>
            </w:pPr>
          </w:p>
        </w:tc>
        <w:tc>
          <w:tcPr>
            <w:tcW w:w="850" w:type="dxa"/>
            <w:tcBorders>
              <w:top w:val="single" w:color="auto" w:sz="4" w:space="0"/>
              <w:bottom w:val="single" w:color="auto" w:sz="4" w:space="0"/>
            </w:tcBorders>
            <w:vAlign w:val="center"/>
          </w:tcPr>
          <w:p>
            <w:pPr>
              <w:widowControl/>
              <w:jc w:val="center"/>
              <w:rPr>
                <w:rFonts w:ascii="宋体" w:hAnsi="宋体" w:cs="宋体"/>
                <w:kern w:val="0"/>
                <w:sz w:val="18"/>
                <w:szCs w:val="18"/>
              </w:rPr>
            </w:pPr>
          </w:p>
        </w:tc>
        <w:tc>
          <w:tcPr>
            <w:tcW w:w="851" w:type="dxa"/>
            <w:tcBorders>
              <w:top w:val="single" w:color="auto" w:sz="4" w:space="0"/>
              <w:bottom w:val="single" w:color="auto" w:sz="4" w:space="0"/>
            </w:tcBorders>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32" w:hRule="atLeast"/>
          <w:jc w:val="center"/>
        </w:trPr>
        <w:tc>
          <w:tcPr>
            <w:tcW w:w="441"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1260"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现场监测</w:t>
            </w:r>
          </w:p>
        </w:tc>
        <w:tc>
          <w:tcPr>
            <w:tcW w:w="709"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2126" w:type="dxa"/>
            <w:tcBorders>
              <w:bottom w:val="single" w:color="auto" w:sz="4" w:space="0"/>
              <w:righ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kern w:val="0"/>
                <w:sz w:val="18"/>
                <w:szCs w:val="18"/>
              </w:rPr>
              <w:t>积极主动组织进场测量、施工阶段复测等监测野外工作；严格按设计、施工要求，分阶段开展监测工作。</w:t>
            </w:r>
          </w:p>
        </w:tc>
        <w:tc>
          <w:tcPr>
            <w:tcW w:w="2552" w:type="dxa"/>
            <w:tcBorders>
              <w:left w:val="single" w:color="auto" w:sz="4" w:space="0"/>
              <w:bottom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1、监测任务书下达后，无合理原因，超过3天仍未组织进场测量（复测）；</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2、强行合并不同阶段的监测任务，未按监测等进度要求分批进场监测；</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每发生一项扣3分</w:t>
            </w:r>
          </w:p>
        </w:tc>
        <w:tc>
          <w:tcPr>
            <w:tcW w:w="567" w:type="dxa"/>
            <w:tcBorders>
              <w:bottom w:val="single" w:color="auto" w:sz="4" w:space="0"/>
            </w:tcBorders>
            <w:vAlign w:val="center"/>
          </w:tcPr>
          <w:p>
            <w:pPr>
              <w:widowControl/>
              <w:jc w:val="center"/>
              <w:rPr>
                <w:rFonts w:ascii="宋体" w:hAnsi="宋体" w:cs="宋体"/>
                <w:kern w:val="0"/>
                <w:sz w:val="18"/>
                <w:szCs w:val="18"/>
              </w:rPr>
            </w:pPr>
          </w:p>
        </w:tc>
        <w:tc>
          <w:tcPr>
            <w:tcW w:w="850" w:type="dxa"/>
            <w:tcBorders>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851" w:type="dxa"/>
            <w:tcBorders>
              <w:bottom w:val="single" w:color="auto" w:sz="4" w:space="0"/>
            </w:tcBorders>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32" w:hRule="atLeast"/>
          <w:jc w:val="center"/>
        </w:trPr>
        <w:tc>
          <w:tcPr>
            <w:tcW w:w="441" w:type="dxa"/>
            <w:vMerge w:val="continue"/>
            <w:vAlign w:val="center"/>
          </w:tcPr>
          <w:p>
            <w:pPr>
              <w:widowControl/>
              <w:jc w:val="center"/>
              <w:rPr>
                <w:rFonts w:ascii="宋体" w:hAnsi="宋体" w:cs="宋体"/>
                <w:kern w:val="0"/>
                <w:sz w:val="18"/>
                <w:szCs w:val="18"/>
              </w:rPr>
            </w:pPr>
          </w:p>
        </w:tc>
        <w:tc>
          <w:tcPr>
            <w:tcW w:w="1260" w:type="dxa"/>
            <w:vMerge w:val="continue"/>
            <w:vAlign w:val="center"/>
          </w:tcPr>
          <w:p>
            <w:pPr>
              <w:widowControl/>
              <w:jc w:val="left"/>
              <w:rPr>
                <w:rFonts w:ascii="宋体" w:hAnsi="宋体" w:cs="宋体"/>
                <w:kern w:val="0"/>
                <w:sz w:val="18"/>
                <w:szCs w:val="18"/>
              </w:rPr>
            </w:pPr>
          </w:p>
        </w:tc>
        <w:tc>
          <w:tcPr>
            <w:tcW w:w="709" w:type="dxa"/>
            <w:vMerge w:val="continue"/>
            <w:vAlign w:val="center"/>
          </w:tcPr>
          <w:p>
            <w:pPr>
              <w:widowControl/>
              <w:jc w:val="center"/>
              <w:rPr>
                <w:rFonts w:ascii="宋体" w:hAnsi="宋体" w:cs="宋体"/>
                <w:kern w:val="0"/>
                <w:sz w:val="18"/>
                <w:szCs w:val="18"/>
              </w:rPr>
            </w:pPr>
          </w:p>
        </w:tc>
        <w:tc>
          <w:tcPr>
            <w:tcW w:w="2126" w:type="dxa"/>
            <w:tcBorders>
              <w:bottom w:val="single" w:color="auto" w:sz="4" w:space="0"/>
              <w:righ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kern w:val="0"/>
                <w:sz w:val="18"/>
                <w:szCs w:val="18"/>
              </w:rPr>
              <w:t>严格按监测合同、设计要求、监测纲要要求完成全部的监测工作量，监测符合操作规程要求、监测质量符合监测合同、设计要求。</w:t>
            </w:r>
          </w:p>
        </w:tc>
        <w:tc>
          <w:tcPr>
            <w:tcW w:w="2552" w:type="dxa"/>
            <w:tcBorders>
              <w:left w:val="single" w:color="auto" w:sz="4" w:space="0"/>
              <w:bottom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1、监测不符合操作规程要求；</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2、监测质量不符合监测合同、设计要求。</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每发生一项扣1分</w:t>
            </w:r>
          </w:p>
        </w:tc>
        <w:tc>
          <w:tcPr>
            <w:tcW w:w="567" w:type="dxa"/>
            <w:tcBorders>
              <w:bottom w:val="single" w:color="auto" w:sz="4" w:space="0"/>
            </w:tcBorders>
            <w:vAlign w:val="center"/>
          </w:tcPr>
          <w:p>
            <w:pPr>
              <w:widowControl/>
              <w:jc w:val="center"/>
              <w:rPr>
                <w:rFonts w:ascii="宋体" w:hAnsi="宋体" w:cs="宋体"/>
                <w:kern w:val="0"/>
                <w:sz w:val="18"/>
                <w:szCs w:val="18"/>
              </w:rPr>
            </w:pPr>
          </w:p>
        </w:tc>
        <w:tc>
          <w:tcPr>
            <w:tcW w:w="850" w:type="dxa"/>
            <w:tcBorders>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851" w:type="dxa"/>
            <w:tcBorders>
              <w:bottom w:val="single" w:color="auto" w:sz="4" w:space="0"/>
            </w:tcBorders>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32" w:hRule="atLeast"/>
          <w:jc w:val="center"/>
        </w:trPr>
        <w:tc>
          <w:tcPr>
            <w:tcW w:w="441" w:type="dxa"/>
            <w:vMerge w:val="continue"/>
            <w:vAlign w:val="center"/>
          </w:tcPr>
          <w:p>
            <w:pPr>
              <w:widowControl/>
              <w:jc w:val="center"/>
              <w:rPr>
                <w:rFonts w:ascii="宋体" w:hAnsi="宋体" w:cs="宋体"/>
                <w:kern w:val="0"/>
                <w:sz w:val="18"/>
                <w:szCs w:val="18"/>
              </w:rPr>
            </w:pPr>
          </w:p>
        </w:tc>
        <w:tc>
          <w:tcPr>
            <w:tcW w:w="1260" w:type="dxa"/>
            <w:vMerge w:val="continue"/>
            <w:vAlign w:val="center"/>
          </w:tcPr>
          <w:p>
            <w:pPr>
              <w:widowControl/>
              <w:jc w:val="left"/>
              <w:rPr>
                <w:rFonts w:ascii="宋体" w:hAnsi="宋体" w:cs="宋体"/>
                <w:kern w:val="0"/>
                <w:sz w:val="18"/>
                <w:szCs w:val="18"/>
              </w:rPr>
            </w:pPr>
          </w:p>
        </w:tc>
        <w:tc>
          <w:tcPr>
            <w:tcW w:w="709" w:type="dxa"/>
            <w:vMerge w:val="continue"/>
            <w:vAlign w:val="center"/>
          </w:tcPr>
          <w:p>
            <w:pPr>
              <w:widowControl/>
              <w:jc w:val="center"/>
              <w:rPr>
                <w:rFonts w:ascii="宋体" w:hAnsi="宋体" w:cs="宋体"/>
                <w:kern w:val="0"/>
                <w:sz w:val="18"/>
                <w:szCs w:val="18"/>
              </w:rPr>
            </w:pPr>
          </w:p>
        </w:tc>
        <w:tc>
          <w:tcPr>
            <w:tcW w:w="2126" w:type="dxa"/>
            <w:tcBorders>
              <w:bottom w:val="single" w:color="auto" w:sz="4" w:space="0"/>
              <w:righ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kern w:val="0"/>
                <w:sz w:val="18"/>
                <w:szCs w:val="18"/>
              </w:rPr>
              <w:t>技术人员始终在现场，作业人员签名完整，记录正确清楚，能如实反映地层土质的特性及地下水位等。</w:t>
            </w:r>
          </w:p>
        </w:tc>
        <w:tc>
          <w:tcPr>
            <w:tcW w:w="2552" w:type="dxa"/>
            <w:tcBorders>
              <w:left w:val="single" w:color="auto" w:sz="4" w:space="0"/>
              <w:bottom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1、作业人员签名不完整，现场记录不清楚，不能如实反映监测成果等。每发生一项扣1分</w:t>
            </w:r>
          </w:p>
        </w:tc>
        <w:tc>
          <w:tcPr>
            <w:tcW w:w="567" w:type="dxa"/>
            <w:tcBorders>
              <w:bottom w:val="single" w:color="auto" w:sz="4" w:space="0"/>
            </w:tcBorders>
            <w:vAlign w:val="center"/>
          </w:tcPr>
          <w:p>
            <w:pPr>
              <w:widowControl/>
              <w:jc w:val="center"/>
              <w:rPr>
                <w:rFonts w:ascii="宋体" w:hAnsi="宋体" w:cs="宋体"/>
                <w:kern w:val="0"/>
                <w:sz w:val="18"/>
                <w:szCs w:val="18"/>
              </w:rPr>
            </w:pPr>
          </w:p>
        </w:tc>
        <w:tc>
          <w:tcPr>
            <w:tcW w:w="850" w:type="dxa"/>
            <w:tcBorders>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851" w:type="dxa"/>
            <w:tcBorders>
              <w:bottom w:val="single" w:color="auto" w:sz="4" w:space="0"/>
            </w:tcBorders>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32" w:hRule="atLeast"/>
          <w:jc w:val="center"/>
        </w:trPr>
        <w:tc>
          <w:tcPr>
            <w:tcW w:w="441" w:type="dxa"/>
            <w:vMerge w:val="continue"/>
            <w:vAlign w:val="center"/>
          </w:tcPr>
          <w:p>
            <w:pPr>
              <w:widowControl/>
              <w:jc w:val="center"/>
              <w:rPr>
                <w:rFonts w:ascii="宋体" w:hAnsi="宋体" w:cs="宋体"/>
                <w:kern w:val="0"/>
                <w:sz w:val="18"/>
                <w:szCs w:val="18"/>
              </w:rPr>
            </w:pPr>
          </w:p>
        </w:tc>
        <w:tc>
          <w:tcPr>
            <w:tcW w:w="1260" w:type="dxa"/>
            <w:vMerge w:val="continue"/>
            <w:vAlign w:val="center"/>
          </w:tcPr>
          <w:p>
            <w:pPr>
              <w:widowControl/>
              <w:jc w:val="left"/>
              <w:rPr>
                <w:rFonts w:ascii="宋体" w:hAnsi="宋体" w:cs="宋体"/>
                <w:kern w:val="0"/>
                <w:sz w:val="18"/>
                <w:szCs w:val="18"/>
              </w:rPr>
            </w:pPr>
          </w:p>
        </w:tc>
        <w:tc>
          <w:tcPr>
            <w:tcW w:w="709" w:type="dxa"/>
            <w:vMerge w:val="continue"/>
            <w:vAlign w:val="center"/>
          </w:tcPr>
          <w:p>
            <w:pPr>
              <w:widowControl/>
              <w:jc w:val="center"/>
              <w:rPr>
                <w:rFonts w:ascii="宋体" w:hAnsi="宋体" w:cs="宋体"/>
                <w:kern w:val="0"/>
                <w:sz w:val="18"/>
                <w:szCs w:val="18"/>
              </w:rPr>
            </w:pPr>
          </w:p>
        </w:tc>
        <w:tc>
          <w:tcPr>
            <w:tcW w:w="2126" w:type="dxa"/>
            <w:tcBorders>
              <w:bottom w:val="single" w:color="auto" w:sz="4" w:space="0"/>
              <w:righ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kern w:val="0"/>
                <w:sz w:val="18"/>
                <w:szCs w:val="18"/>
              </w:rPr>
              <w:t>测试数量、位置及控制程度符合监测任务书或有关规范的要求。</w:t>
            </w:r>
          </w:p>
        </w:tc>
        <w:tc>
          <w:tcPr>
            <w:tcW w:w="2552" w:type="dxa"/>
            <w:tcBorders>
              <w:left w:val="single" w:color="auto" w:sz="4" w:space="0"/>
              <w:bottom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测试数量、位置及控制程度不符合监测任务书或有关规范的要求。每发生一项扣2分</w:t>
            </w:r>
          </w:p>
        </w:tc>
        <w:tc>
          <w:tcPr>
            <w:tcW w:w="567" w:type="dxa"/>
            <w:tcBorders>
              <w:bottom w:val="single" w:color="auto" w:sz="4" w:space="0"/>
            </w:tcBorders>
            <w:vAlign w:val="center"/>
          </w:tcPr>
          <w:p>
            <w:pPr>
              <w:widowControl/>
              <w:jc w:val="center"/>
              <w:rPr>
                <w:rFonts w:ascii="宋体" w:hAnsi="宋体" w:cs="宋体"/>
                <w:kern w:val="0"/>
                <w:sz w:val="18"/>
                <w:szCs w:val="18"/>
              </w:rPr>
            </w:pPr>
          </w:p>
        </w:tc>
        <w:tc>
          <w:tcPr>
            <w:tcW w:w="850" w:type="dxa"/>
            <w:tcBorders>
              <w:bottom w:val="single" w:color="auto" w:sz="4" w:space="0"/>
            </w:tcBorders>
            <w:vAlign w:val="center"/>
          </w:tcPr>
          <w:p>
            <w:pPr>
              <w:widowControl/>
              <w:jc w:val="center"/>
              <w:rPr>
                <w:rFonts w:ascii="宋体" w:hAnsi="宋体" w:cs="宋体"/>
                <w:kern w:val="0"/>
                <w:sz w:val="18"/>
                <w:szCs w:val="18"/>
              </w:rPr>
            </w:pPr>
          </w:p>
        </w:tc>
        <w:tc>
          <w:tcPr>
            <w:tcW w:w="851" w:type="dxa"/>
            <w:tcBorders>
              <w:bottom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1227" w:hRule="atLeast"/>
          <w:jc w:val="center"/>
        </w:trPr>
        <w:tc>
          <w:tcPr>
            <w:tcW w:w="441" w:type="dxa"/>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260" w:type="dxa"/>
            <w:vAlign w:val="center"/>
          </w:tcPr>
          <w:p>
            <w:pPr>
              <w:widowControl/>
              <w:jc w:val="left"/>
              <w:rPr>
                <w:rFonts w:ascii="宋体" w:hAnsi="宋体" w:cs="宋体"/>
                <w:kern w:val="0"/>
                <w:sz w:val="18"/>
                <w:szCs w:val="18"/>
              </w:rPr>
            </w:pPr>
            <w:r>
              <w:rPr>
                <w:rFonts w:hint="eastAsia" w:ascii="宋体" w:hAnsi="宋体" w:cs="宋体"/>
                <w:kern w:val="0"/>
                <w:sz w:val="18"/>
                <w:szCs w:val="18"/>
              </w:rPr>
              <w:t>安全文明作业</w:t>
            </w:r>
          </w:p>
        </w:tc>
        <w:tc>
          <w:tcPr>
            <w:tcW w:w="709" w:type="dxa"/>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2126" w:type="dxa"/>
            <w:tcBorders>
              <w:righ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kern w:val="0"/>
                <w:sz w:val="18"/>
                <w:szCs w:val="18"/>
              </w:rPr>
              <w:t>严格按有关安全文明的要求开展工作，没有出现安全事故。</w:t>
            </w:r>
          </w:p>
        </w:tc>
        <w:tc>
          <w:tcPr>
            <w:tcW w:w="2552" w:type="dxa"/>
            <w:tcBorders>
              <w:lef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kern w:val="0"/>
                <w:sz w:val="18"/>
                <w:szCs w:val="18"/>
              </w:rPr>
              <w:t>未严格按有关安全文明的要求开展工作，出现安全事故。发生一项扣10分</w:t>
            </w:r>
          </w:p>
        </w:tc>
        <w:tc>
          <w:tcPr>
            <w:tcW w:w="567" w:type="dxa"/>
            <w:vAlign w:val="center"/>
          </w:tcPr>
          <w:p>
            <w:pPr>
              <w:widowControl/>
              <w:jc w:val="center"/>
              <w:rPr>
                <w:rFonts w:ascii="宋体" w:hAnsi="宋体" w:cs="宋体"/>
                <w:kern w:val="0"/>
                <w:sz w:val="18"/>
                <w:szCs w:val="18"/>
              </w:rPr>
            </w:pPr>
          </w:p>
        </w:tc>
        <w:tc>
          <w:tcPr>
            <w:tcW w:w="850" w:type="dxa"/>
            <w:vAlign w:val="center"/>
          </w:tcPr>
          <w:p>
            <w:pPr>
              <w:jc w:val="center"/>
              <w:rPr>
                <w:rFonts w:ascii="宋体" w:hAnsi="宋体" w:cs="宋体"/>
                <w:kern w:val="0"/>
                <w:sz w:val="18"/>
                <w:szCs w:val="18"/>
              </w:rPr>
            </w:pPr>
            <w:r>
              <w:rPr>
                <w:rFonts w:hint="eastAsia" w:ascii="宋体" w:hAnsi="宋体" w:cs="宋体"/>
                <w:kern w:val="0"/>
                <w:sz w:val="18"/>
                <w:szCs w:val="18"/>
              </w:rPr>
              <w:t>√</w:t>
            </w: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941" w:hRule="atLeast"/>
          <w:jc w:val="center"/>
        </w:trPr>
        <w:tc>
          <w:tcPr>
            <w:tcW w:w="441"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1260" w:type="dxa"/>
            <w:vAlign w:val="center"/>
          </w:tcPr>
          <w:p>
            <w:pPr>
              <w:widowControl/>
              <w:jc w:val="left"/>
              <w:rPr>
                <w:rFonts w:ascii="宋体" w:hAnsi="宋体" w:cs="宋体"/>
                <w:kern w:val="0"/>
                <w:sz w:val="18"/>
                <w:szCs w:val="18"/>
              </w:rPr>
            </w:pPr>
            <w:r>
              <w:rPr>
                <w:rFonts w:hint="eastAsia" w:ascii="宋体" w:hAnsi="宋体" w:cs="宋体"/>
                <w:kern w:val="0"/>
                <w:sz w:val="18"/>
                <w:szCs w:val="18"/>
              </w:rPr>
              <w:t>业主及设计单位对监测成果的评价</w:t>
            </w:r>
          </w:p>
        </w:tc>
        <w:tc>
          <w:tcPr>
            <w:tcW w:w="709" w:type="dxa"/>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2126" w:type="dxa"/>
            <w:tcBorders>
              <w:righ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kern w:val="0"/>
                <w:sz w:val="18"/>
                <w:szCs w:val="18"/>
              </w:rPr>
              <w:t>监测成果的审核审批程序、签署齐全，能够按照合同要求保质保量及时提交完整的符合档案管理要求的资料。</w:t>
            </w:r>
          </w:p>
        </w:tc>
        <w:tc>
          <w:tcPr>
            <w:tcW w:w="2552" w:type="dxa"/>
            <w:tcBorders>
              <w:lef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1、监测成果的审核审批程序、签署不齐全；</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2、未能够按照合同要求保质保量及时提交完整的符合档案管理要求的资料。每发生一项扣2分</w:t>
            </w: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41" w:type="dxa"/>
            <w:vMerge w:val="continue"/>
            <w:vAlign w:val="center"/>
          </w:tcPr>
          <w:p>
            <w:pPr>
              <w:widowControl/>
              <w:jc w:val="center"/>
              <w:rPr>
                <w:rFonts w:ascii="宋体" w:hAnsi="宋体" w:cs="宋体"/>
                <w:kern w:val="0"/>
                <w:sz w:val="18"/>
                <w:szCs w:val="18"/>
              </w:rPr>
            </w:pPr>
          </w:p>
        </w:tc>
        <w:tc>
          <w:tcPr>
            <w:tcW w:w="1260" w:type="dxa"/>
            <w:vAlign w:val="center"/>
          </w:tcPr>
          <w:p>
            <w:pPr>
              <w:widowControl/>
              <w:jc w:val="left"/>
              <w:rPr>
                <w:rFonts w:ascii="宋体" w:hAnsi="宋体" w:cs="宋体"/>
                <w:kern w:val="0"/>
                <w:sz w:val="18"/>
                <w:szCs w:val="18"/>
              </w:rPr>
            </w:pPr>
            <w:r>
              <w:rPr>
                <w:rFonts w:hint="eastAsia" w:ascii="宋体" w:hAnsi="宋体" w:cs="宋体"/>
                <w:kern w:val="0"/>
                <w:sz w:val="18"/>
                <w:szCs w:val="18"/>
              </w:rPr>
              <w:t>审查机构对监测成果的评价</w:t>
            </w:r>
          </w:p>
        </w:tc>
        <w:tc>
          <w:tcPr>
            <w:tcW w:w="709" w:type="dxa"/>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2126" w:type="dxa"/>
            <w:tcBorders>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满足监测相关规范、标准、规定等要求</w:t>
            </w:r>
          </w:p>
        </w:tc>
        <w:tc>
          <w:tcPr>
            <w:tcW w:w="2552" w:type="dxa"/>
            <w:tcBorders>
              <w:lef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1、不满足强制性条文，每发生一项扣10分；</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2、规范、法规、监测文件深度等执行情况，审查记录表内每审查出一项错漏扣1分。</w:t>
            </w: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918" w:hRule="atLeast"/>
          <w:jc w:val="center"/>
        </w:trPr>
        <w:tc>
          <w:tcPr>
            <w:tcW w:w="441" w:type="dxa"/>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1260" w:type="dxa"/>
            <w:vAlign w:val="center"/>
          </w:tcPr>
          <w:p>
            <w:pPr>
              <w:widowControl/>
              <w:jc w:val="left"/>
              <w:rPr>
                <w:rFonts w:ascii="宋体" w:hAnsi="宋体" w:cs="宋体"/>
                <w:kern w:val="0"/>
                <w:sz w:val="18"/>
                <w:szCs w:val="18"/>
              </w:rPr>
            </w:pPr>
            <w:r>
              <w:rPr>
                <w:rFonts w:hint="eastAsia" w:ascii="宋体" w:hAnsi="宋体" w:cs="宋体"/>
                <w:kern w:val="0"/>
                <w:sz w:val="18"/>
                <w:szCs w:val="18"/>
              </w:rPr>
              <w:t>监测质量问题</w:t>
            </w:r>
          </w:p>
        </w:tc>
        <w:tc>
          <w:tcPr>
            <w:tcW w:w="709" w:type="dxa"/>
            <w:tcBorders>
              <w:bottom w:val="single" w:color="auto" w:sz="6"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2126" w:type="dxa"/>
            <w:tcBorders>
              <w:bottom w:val="single" w:color="auto" w:sz="6" w:space="0"/>
              <w:right w:val="single" w:color="auto" w:sz="4" w:space="0"/>
            </w:tcBorders>
            <w:vAlign w:val="center"/>
          </w:tcPr>
          <w:p>
            <w:pPr>
              <w:widowControl/>
              <w:spacing w:line="240" w:lineRule="exact"/>
              <w:ind w:firstLine="177" w:firstLineChars="98"/>
              <w:jc w:val="left"/>
              <w:rPr>
                <w:rFonts w:ascii="宋体" w:hAnsi="宋体" w:cs="宋体"/>
                <w:kern w:val="0"/>
                <w:sz w:val="18"/>
                <w:szCs w:val="18"/>
              </w:rPr>
            </w:pPr>
            <w:r>
              <w:rPr>
                <w:rFonts w:hint="eastAsia" w:ascii="宋体" w:hAnsi="宋体" w:cs="宋体"/>
                <w:b/>
                <w:bCs/>
                <w:kern w:val="0"/>
                <w:sz w:val="18"/>
                <w:szCs w:val="18"/>
              </w:rPr>
              <w:t>Ⅰ类问题：</w:t>
            </w:r>
            <w:r>
              <w:rPr>
                <w:rFonts w:hint="eastAsia" w:ascii="宋体" w:hAnsi="宋体" w:cs="宋体"/>
                <w:kern w:val="0"/>
                <w:sz w:val="18"/>
                <w:szCs w:val="18"/>
              </w:rPr>
              <w:t>A、严重违反规范、标准、规定，有可能造成严重影响安全和工程质量的错误 B、有严重错误，有可能造成不能正常使用、不安全或重大经济损失 C、有严重错误，造成项目投资出现严重错漏；</w:t>
            </w:r>
          </w:p>
          <w:p>
            <w:pPr>
              <w:widowControl/>
              <w:spacing w:line="240" w:lineRule="exact"/>
              <w:ind w:firstLine="177" w:firstLineChars="98"/>
              <w:jc w:val="left"/>
              <w:rPr>
                <w:rFonts w:ascii="宋体" w:hAnsi="宋体" w:cs="宋体"/>
                <w:kern w:val="0"/>
                <w:sz w:val="18"/>
                <w:szCs w:val="18"/>
              </w:rPr>
            </w:pPr>
            <w:r>
              <w:rPr>
                <w:rFonts w:hint="eastAsia" w:ascii="宋体" w:hAnsi="宋体" w:cs="宋体"/>
                <w:b/>
                <w:bCs/>
                <w:kern w:val="0"/>
                <w:sz w:val="18"/>
                <w:szCs w:val="18"/>
              </w:rPr>
              <w:t>Ⅱ类问题：</w:t>
            </w:r>
            <w:r>
              <w:rPr>
                <w:rFonts w:hint="eastAsia" w:ascii="宋体" w:hAnsi="宋体" w:cs="宋体"/>
                <w:kern w:val="0"/>
                <w:sz w:val="18"/>
                <w:szCs w:val="18"/>
              </w:rPr>
              <w:t>A、局部违反规范、标准、规定，但容易修正、且返工量不大 B、监测质量问题，有可能造成严重后果或项目投资错漏；</w:t>
            </w:r>
          </w:p>
          <w:p>
            <w:pPr>
              <w:widowControl/>
              <w:spacing w:line="240" w:lineRule="exact"/>
              <w:ind w:firstLine="177" w:firstLineChars="98"/>
              <w:jc w:val="left"/>
              <w:rPr>
                <w:rFonts w:ascii="宋体" w:hAnsi="宋体" w:cs="宋体"/>
                <w:kern w:val="0"/>
                <w:sz w:val="18"/>
                <w:szCs w:val="18"/>
              </w:rPr>
            </w:pPr>
            <w:r>
              <w:rPr>
                <w:rFonts w:hint="eastAsia" w:ascii="宋体" w:hAnsi="宋体" w:cs="宋体"/>
                <w:b/>
                <w:bCs/>
                <w:kern w:val="0"/>
                <w:sz w:val="18"/>
                <w:szCs w:val="18"/>
              </w:rPr>
              <w:t>Ⅲ类问题：</w:t>
            </w:r>
            <w:r>
              <w:rPr>
                <w:rFonts w:hint="eastAsia" w:ascii="宋体" w:hAnsi="宋体" w:cs="宋体"/>
                <w:kern w:val="0"/>
                <w:sz w:val="18"/>
                <w:szCs w:val="18"/>
              </w:rPr>
              <w:t>A、容易修正、且不造成使用或安全缺陷，但会给建设单位、设计单位和施工单位带来麻烦。</w:t>
            </w:r>
          </w:p>
        </w:tc>
        <w:tc>
          <w:tcPr>
            <w:tcW w:w="2552" w:type="dxa"/>
            <w:tcBorders>
              <w:left w:val="single" w:color="auto" w:sz="4" w:space="0"/>
            </w:tcBorders>
            <w:vAlign w:val="center"/>
          </w:tcPr>
          <w:p>
            <w:pPr>
              <w:widowControl/>
              <w:snapToGrid w:val="0"/>
              <w:jc w:val="left"/>
              <w:rPr>
                <w:rFonts w:ascii="宋体" w:hAnsi="宋体" w:cs="宋体"/>
                <w:kern w:val="0"/>
                <w:sz w:val="18"/>
                <w:szCs w:val="18"/>
              </w:rPr>
            </w:pPr>
            <w:r>
              <w:rPr>
                <w:rFonts w:hint="eastAsia" w:ascii="宋体" w:hAnsi="宋体" w:cs="宋体"/>
                <w:kern w:val="0"/>
                <w:sz w:val="18"/>
                <w:szCs w:val="18"/>
              </w:rPr>
              <w:t>每出现Ⅰ类问题的一项一次扣10分，</w:t>
            </w:r>
            <w:r>
              <w:rPr>
                <w:rFonts w:hint="eastAsia" w:ascii="宋体" w:hAnsi="宋体" w:cs="宋体"/>
                <w:kern w:val="0"/>
                <w:sz w:val="18"/>
                <w:szCs w:val="18"/>
              </w:rPr>
              <w:br w:type="textWrapping"/>
            </w:r>
            <w:r>
              <w:rPr>
                <w:rFonts w:hint="eastAsia" w:ascii="宋体" w:hAnsi="宋体" w:cs="宋体"/>
                <w:kern w:val="0"/>
                <w:sz w:val="18"/>
                <w:szCs w:val="18"/>
              </w:rPr>
              <w:t>每出现Ⅱ类问题的一项一次扣8分，</w:t>
            </w:r>
            <w:r>
              <w:rPr>
                <w:rFonts w:hint="eastAsia" w:ascii="宋体" w:hAnsi="宋体" w:cs="宋体"/>
                <w:kern w:val="0"/>
                <w:sz w:val="18"/>
                <w:szCs w:val="18"/>
              </w:rPr>
              <w:br w:type="textWrapping"/>
            </w:r>
            <w:r>
              <w:rPr>
                <w:rFonts w:hint="eastAsia" w:ascii="宋体" w:hAnsi="宋体" w:cs="宋体"/>
                <w:kern w:val="0"/>
                <w:sz w:val="18"/>
                <w:szCs w:val="18"/>
              </w:rPr>
              <w:t>每出现Ⅲ类问题的一项一次扣6分，扣完为止。</w:t>
            </w:r>
          </w:p>
        </w:tc>
        <w:tc>
          <w:tcPr>
            <w:tcW w:w="567" w:type="dxa"/>
            <w:vAlign w:val="center"/>
          </w:tcPr>
          <w:p>
            <w:pPr>
              <w:widowControl/>
              <w:spacing w:line="240" w:lineRule="exact"/>
              <w:jc w:val="center"/>
              <w:rPr>
                <w:rFonts w:ascii="宋体" w:hAnsi="宋体" w:cs="宋体"/>
                <w:kern w:val="0"/>
                <w:sz w:val="18"/>
                <w:szCs w:val="18"/>
              </w:rPr>
            </w:pPr>
          </w:p>
        </w:tc>
        <w:tc>
          <w:tcPr>
            <w:tcW w:w="850"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41" w:type="dxa"/>
            <w:vAlign w:val="center"/>
          </w:tcPr>
          <w:p>
            <w:pPr>
              <w:widowControl/>
              <w:jc w:val="center"/>
              <w:rPr>
                <w:rFonts w:ascii="黑体" w:hAnsi="宋体" w:eastAsia="黑体" w:cs="宋体"/>
                <w:kern w:val="0"/>
                <w:sz w:val="24"/>
              </w:rPr>
            </w:pPr>
            <w:r>
              <w:rPr>
                <w:rFonts w:hint="eastAsia" w:ascii="黑体" w:hAnsi="宋体" w:eastAsia="黑体" w:cs="宋体"/>
                <w:kern w:val="0"/>
                <w:sz w:val="24"/>
              </w:rPr>
              <w:t>三</w:t>
            </w:r>
          </w:p>
        </w:tc>
        <w:tc>
          <w:tcPr>
            <w:tcW w:w="1260" w:type="dxa"/>
            <w:tcBorders>
              <w:bottom w:val="single" w:color="auto" w:sz="6" w:space="0"/>
            </w:tcBorders>
            <w:vAlign w:val="center"/>
          </w:tcPr>
          <w:p>
            <w:pPr>
              <w:widowControl/>
              <w:jc w:val="left"/>
              <w:rPr>
                <w:rFonts w:ascii="黑体" w:hAnsi="宋体" w:eastAsia="黑体" w:cs="宋体"/>
                <w:kern w:val="0"/>
                <w:sz w:val="24"/>
              </w:rPr>
            </w:pPr>
            <w:r>
              <w:rPr>
                <w:rFonts w:hint="eastAsia" w:ascii="黑体" w:hAnsi="宋体" w:eastAsia="黑体" w:cs="宋体"/>
                <w:kern w:val="0"/>
                <w:sz w:val="24"/>
              </w:rPr>
              <w:t>履约时间</w:t>
            </w:r>
          </w:p>
        </w:tc>
        <w:tc>
          <w:tcPr>
            <w:tcW w:w="709" w:type="dxa"/>
            <w:tcBorders>
              <w:top w:val="single" w:color="auto" w:sz="6" w:space="0"/>
              <w:bottom w:val="single" w:color="auto" w:sz="6" w:space="0"/>
            </w:tcBorders>
            <w:vAlign w:val="center"/>
          </w:tcPr>
          <w:p>
            <w:pPr>
              <w:widowControl/>
              <w:jc w:val="center"/>
              <w:rPr>
                <w:rFonts w:ascii="黑体" w:hAnsi="宋体" w:eastAsia="黑体" w:cs="宋体"/>
                <w:b/>
                <w:kern w:val="0"/>
                <w:sz w:val="24"/>
              </w:rPr>
            </w:pPr>
            <w:r>
              <w:rPr>
                <w:rFonts w:hint="eastAsia" w:ascii="黑体" w:hAnsi="宋体" w:eastAsia="黑体" w:cs="宋体"/>
                <w:b/>
                <w:kern w:val="0"/>
                <w:sz w:val="24"/>
              </w:rPr>
              <w:t>10</w:t>
            </w:r>
          </w:p>
        </w:tc>
        <w:tc>
          <w:tcPr>
            <w:tcW w:w="2126" w:type="dxa"/>
            <w:tcBorders>
              <w:top w:val="single" w:color="auto" w:sz="6" w:space="0"/>
              <w:bottom w:val="single" w:color="auto" w:sz="6" w:space="0"/>
              <w:right w:val="single" w:color="auto" w:sz="4" w:space="0"/>
            </w:tcBorders>
            <w:vAlign w:val="center"/>
          </w:tcPr>
          <w:p>
            <w:pPr>
              <w:widowControl/>
              <w:spacing w:line="240" w:lineRule="exact"/>
              <w:jc w:val="left"/>
              <w:rPr>
                <w:rFonts w:ascii="宋体" w:hAnsi="宋体" w:cs="宋体"/>
                <w:kern w:val="0"/>
                <w:sz w:val="18"/>
                <w:szCs w:val="18"/>
              </w:rPr>
            </w:pPr>
          </w:p>
        </w:tc>
        <w:tc>
          <w:tcPr>
            <w:tcW w:w="2552" w:type="dxa"/>
            <w:tcBorders>
              <w:left w:val="single" w:color="auto" w:sz="4" w:space="0"/>
              <w:bottom w:val="single" w:color="auto" w:sz="6" w:space="0"/>
            </w:tcBorders>
            <w:vAlign w:val="center"/>
          </w:tcPr>
          <w:p>
            <w:pPr>
              <w:widowControl/>
              <w:spacing w:line="240" w:lineRule="exact"/>
              <w:jc w:val="left"/>
              <w:rPr>
                <w:rFonts w:ascii="宋体" w:hAnsi="宋体" w:cs="宋体"/>
                <w:kern w:val="0"/>
                <w:sz w:val="18"/>
                <w:szCs w:val="18"/>
              </w:rPr>
            </w:pP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41" w:type="dxa"/>
            <w:vAlign w:val="center"/>
          </w:tcPr>
          <w:p>
            <w:pPr>
              <w:widowControl/>
              <w:jc w:val="center"/>
              <w:rPr>
                <w:rFonts w:ascii="宋体" w:hAnsi="宋体" w:cs="宋体"/>
                <w:kern w:val="0"/>
                <w:sz w:val="18"/>
                <w:szCs w:val="18"/>
              </w:rPr>
            </w:pPr>
            <w:r>
              <w:rPr>
                <w:rFonts w:hint="eastAsia" w:ascii="宋体" w:hAnsi="宋体" w:cs="宋体"/>
                <w:kern w:val="0"/>
                <w:sz w:val="18"/>
                <w:szCs w:val="18"/>
              </w:rPr>
              <w:t>9</w:t>
            </w:r>
          </w:p>
        </w:tc>
        <w:tc>
          <w:tcPr>
            <w:tcW w:w="1260" w:type="dxa"/>
            <w:tcBorders>
              <w:top w:val="single" w:color="auto" w:sz="6" w:space="0"/>
              <w:bottom w:val="single" w:color="auto" w:sz="6"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进度情况</w:t>
            </w:r>
          </w:p>
        </w:tc>
        <w:tc>
          <w:tcPr>
            <w:tcW w:w="709" w:type="dxa"/>
            <w:tcBorders>
              <w:top w:val="single" w:color="auto" w:sz="6" w:space="0"/>
              <w:bottom w:val="single" w:color="auto" w:sz="6"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2126" w:type="dxa"/>
            <w:tcBorders>
              <w:top w:val="single" w:color="auto" w:sz="6" w:space="0"/>
              <w:bottom w:val="single" w:color="auto" w:sz="6"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能够及时地按照合同及监测任务书要求，完成各阶段的监测工作，并提交合格的监测成果资料。</w:t>
            </w:r>
          </w:p>
        </w:tc>
        <w:tc>
          <w:tcPr>
            <w:tcW w:w="2552" w:type="dxa"/>
            <w:tcBorders>
              <w:top w:val="single" w:color="auto" w:sz="6" w:space="0"/>
              <w:left w:val="single" w:color="auto" w:sz="4" w:space="0"/>
              <w:bottom w:val="single" w:color="auto" w:sz="6"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1、各阶段监测任务下达后，3天仍未进场施工或未开展办理进场手续的，每发生一次扣5分；</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2、未按合同或监测任务书规定工期提交成果（过程）资料，且无合理书面解释的，每超1日历天扣2分。</w:t>
            </w: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41" w:type="dxa"/>
            <w:vAlign w:val="center"/>
          </w:tcPr>
          <w:p>
            <w:pPr>
              <w:widowControl/>
              <w:jc w:val="center"/>
              <w:rPr>
                <w:rFonts w:ascii="黑体" w:hAnsi="宋体" w:eastAsia="黑体" w:cs="宋体"/>
                <w:kern w:val="0"/>
                <w:sz w:val="24"/>
              </w:rPr>
            </w:pPr>
            <w:r>
              <w:rPr>
                <w:rFonts w:hint="eastAsia" w:ascii="黑体" w:hAnsi="宋体" w:eastAsia="黑体" w:cs="宋体"/>
                <w:kern w:val="0"/>
                <w:sz w:val="24"/>
              </w:rPr>
              <w:t>四</w:t>
            </w:r>
          </w:p>
        </w:tc>
        <w:tc>
          <w:tcPr>
            <w:tcW w:w="1260" w:type="dxa"/>
            <w:tcBorders>
              <w:top w:val="single" w:color="auto" w:sz="6" w:space="0"/>
              <w:bottom w:val="single" w:color="auto" w:sz="6" w:space="0"/>
            </w:tcBorders>
            <w:vAlign w:val="center"/>
          </w:tcPr>
          <w:p>
            <w:pPr>
              <w:widowControl/>
              <w:jc w:val="left"/>
              <w:rPr>
                <w:rFonts w:ascii="黑体" w:hAnsi="宋体" w:eastAsia="黑体" w:cs="宋体"/>
                <w:kern w:val="0"/>
                <w:sz w:val="24"/>
              </w:rPr>
            </w:pPr>
            <w:r>
              <w:rPr>
                <w:rFonts w:hint="eastAsia" w:ascii="黑体" w:hAnsi="宋体" w:eastAsia="黑体" w:cs="宋体"/>
                <w:kern w:val="0"/>
                <w:sz w:val="24"/>
              </w:rPr>
              <w:t>履约配合</w:t>
            </w:r>
          </w:p>
        </w:tc>
        <w:tc>
          <w:tcPr>
            <w:tcW w:w="709" w:type="dxa"/>
            <w:tcBorders>
              <w:top w:val="single" w:color="auto" w:sz="6" w:space="0"/>
              <w:bottom w:val="single" w:color="auto" w:sz="6" w:space="0"/>
            </w:tcBorders>
            <w:vAlign w:val="center"/>
          </w:tcPr>
          <w:p>
            <w:pPr>
              <w:widowControl/>
              <w:jc w:val="center"/>
              <w:rPr>
                <w:rFonts w:ascii="黑体" w:hAnsi="宋体" w:eastAsia="黑体" w:cs="宋体"/>
                <w:b/>
                <w:kern w:val="0"/>
                <w:sz w:val="24"/>
              </w:rPr>
            </w:pPr>
            <w:r>
              <w:rPr>
                <w:rFonts w:hint="eastAsia" w:ascii="黑体" w:hAnsi="宋体" w:eastAsia="黑体" w:cs="宋体"/>
                <w:b/>
                <w:kern w:val="0"/>
                <w:sz w:val="24"/>
              </w:rPr>
              <w:t>12</w:t>
            </w:r>
          </w:p>
        </w:tc>
        <w:tc>
          <w:tcPr>
            <w:tcW w:w="2126" w:type="dxa"/>
            <w:tcBorders>
              <w:top w:val="single" w:color="auto" w:sz="6" w:space="0"/>
              <w:bottom w:val="single" w:color="auto" w:sz="6" w:space="0"/>
              <w:right w:val="single" w:color="auto" w:sz="4" w:space="0"/>
            </w:tcBorders>
            <w:vAlign w:val="center"/>
          </w:tcPr>
          <w:p>
            <w:pPr>
              <w:widowControl/>
              <w:spacing w:line="240" w:lineRule="exact"/>
              <w:jc w:val="left"/>
              <w:rPr>
                <w:rFonts w:ascii="宋体" w:hAnsi="宋体" w:cs="宋体"/>
                <w:kern w:val="0"/>
                <w:sz w:val="18"/>
                <w:szCs w:val="18"/>
              </w:rPr>
            </w:pPr>
          </w:p>
        </w:tc>
        <w:tc>
          <w:tcPr>
            <w:tcW w:w="2552" w:type="dxa"/>
            <w:tcBorders>
              <w:top w:val="single" w:color="auto" w:sz="6" w:space="0"/>
              <w:left w:val="single" w:color="auto" w:sz="4" w:space="0"/>
              <w:bottom w:val="single" w:color="auto" w:sz="6" w:space="0"/>
            </w:tcBorders>
            <w:vAlign w:val="center"/>
          </w:tcPr>
          <w:p>
            <w:pPr>
              <w:widowControl/>
              <w:spacing w:line="240" w:lineRule="exact"/>
              <w:jc w:val="left"/>
              <w:rPr>
                <w:rFonts w:ascii="宋体" w:hAnsi="宋体" w:cs="宋体"/>
                <w:kern w:val="0"/>
                <w:sz w:val="18"/>
                <w:szCs w:val="18"/>
              </w:rPr>
            </w:pP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jc w:val="center"/>
              <w:rPr>
                <w:rFonts w:ascii="宋体" w:hAnsi="宋体" w:cs="宋体"/>
                <w:kern w:val="0"/>
                <w:sz w:val="18"/>
                <w:szCs w:val="18"/>
              </w:rPr>
            </w:pP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41" w:type="dxa"/>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1260" w:type="dxa"/>
            <w:tcBorders>
              <w:top w:val="single" w:color="auto" w:sz="6" w:space="0"/>
              <w:bottom w:val="single" w:color="auto" w:sz="6"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后期服务</w:t>
            </w:r>
          </w:p>
        </w:tc>
        <w:tc>
          <w:tcPr>
            <w:tcW w:w="709" w:type="dxa"/>
            <w:tcBorders>
              <w:top w:val="single" w:color="auto" w:sz="6" w:space="0"/>
              <w:bottom w:val="single" w:color="auto" w:sz="6"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2126" w:type="dxa"/>
            <w:tcBorders>
              <w:top w:val="single" w:color="auto" w:sz="6" w:space="0"/>
              <w:bottom w:val="single" w:color="auto" w:sz="6"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能够积极主动地配合设计、施工，积极参加交桩、验槽、基础工程验收和工程竣工验收及与地基基础有关的工程事故处理工作等施工阶段的监测配合及验收工作，按时参加有关工程会议。</w:t>
            </w:r>
          </w:p>
        </w:tc>
        <w:tc>
          <w:tcPr>
            <w:tcW w:w="2552" w:type="dxa"/>
            <w:tcBorders>
              <w:top w:val="single" w:color="auto" w:sz="6" w:space="0"/>
              <w:lef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1、不能积极主动地配合设计、施工；</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2、不能积极参加交桩、验槽、基础工程验收和工程竣工验收；</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3、不能积极参加与地基基础有关的工程事故处理工作及验收工作；</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4、不能按时参加有关工程会议；</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5、不能积极主动配合项目的其它相关工作。</w:t>
            </w:r>
          </w:p>
          <w:p>
            <w:pPr>
              <w:widowControl/>
              <w:spacing w:line="240" w:lineRule="exact"/>
              <w:jc w:val="left"/>
              <w:rPr>
                <w:rFonts w:ascii="宋体" w:hAnsi="宋体" w:cs="宋体"/>
                <w:kern w:val="0"/>
                <w:sz w:val="18"/>
                <w:szCs w:val="18"/>
              </w:rPr>
            </w:pPr>
            <w:r>
              <w:rPr>
                <w:rFonts w:hint="eastAsia" w:ascii="宋体" w:hAnsi="宋体" w:cs="宋体"/>
                <w:kern w:val="0"/>
                <w:sz w:val="18"/>
                <w:szCs w:val="18"/>
              </w:rPr>
              <w:t>以上情况每发生一次扣2分</w:t>
            </w:r>
          </w:p>
        </w:tc>
        <w:tc>
          <w:tcPr>
            <w:tcW w:w="567" w:type="dxa"/>
            <w:vAlign w:val="center"/>
          </w:tcPr>
          <w:p>
            <w:pPr>
              <w:widowControl/>
              <w:jc w:val="center"/>
              <w:rPr>
                <w:rFonts w:ascii="宋体" w:hAnsi="宋体" w:cs="宋体"/>
                <w:kern w:val="0"/>
                <w:sz w:val="18"/>
                <w:szCs w:val="18"/>
              </w:rPr>
            </w:pPr>
          </w:p>
        </w:tc>
        <w:tc>
          <w:tcPr>
            <w:tcW w:w="85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851" w:type="dxa"/>
            <w:vAlign w:val="center"/>
          </w:tcPr>
          <w:p>
            <w:pPr>
              <w:widowControl/>
              <w:jc w:val="center"/>
              <w:rPr>
                <w:rFonts w:ascii="宋体" w:hAnsi="宋体" w:cs="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441" w:type="dxa"/>
            <w:vAlign w:val="center"/>
          </w:tcPr>
          <w:p>
            <w:pPr>
              <w:widowControl/>
              <w:jc w:val="center"/>
              <w:rPr>
                <w:kern w:val="0"/>
                <w:sz w:val="24"/>
              </w:rPr>
            </w:pPr>
            <w:r>
              <w:rPr>
                <w:kern w:val="0"/>
                <w:sz w:val="24"/>
              </w:rPr>
              <w:t xml:space="preserve">  </w:t>
            </w:r>
          </w:p>
        </w:tc>
        <w:tc>
          <w:tcPr>
            <w:tcW w:w="1260" w:type="dxa"/>
            <w:tcBorders>
              <w:top w:val="single" w:color="auto" w:sz="6" w:space="0"/>
              <w:bottom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xml:space="preserve"> 合  计</w:t>
            </w:r>
          </w:p>
        </w:tc>
        <w:tc>
          <w:tcPr>
            <w:tcW w:w="709" w:type="dxa"/>
            <w:tcBorders>
              <w:top w:val="single" w:color="auto" w:sz="6" w:space="0"/>
              <w:bottom w:val="single" w:color="auto" w:sz="8" w:space="0"/>
            </w:tcBorders>
            <w:vAlign w:val="center"/>
          </w:tcPr>
          <w:p>
            <w:pPr>
              <w:widowControl/>
              <w:jc w:val="center"/>
              <w:rPr>
                <w:rFonts w:ascii="黑体" w:hAnsi="宋体" w:eastAsia="黑体" w:cs="宋体"/>
                <w:b/>
                <w:kern w:val="0"/>
                <w:sz w:val="24"/>
              </w:rPr>
            </w:pPr>
            <w:r>
              <w:rPr>
                <w:rFonts w:hint="eastAsia" w:ascii="黑体" w:hAnsi="宋体" w:eastAsia="黑体" w:cs="宋体"/>
                <w:b/>
                <w:kern w:val="0"/>
                <w:sz w:val="24"/>
              </w:rPr>
              <w:t>100</w:t>
            </w:r>
          </w:p>
        </w:tc>
        <w:tc>
          <w:tcPr>
            <w:tcW w:w="2126" w:type="dxa"/>
            <w:tcBorders>
              <w:top w:val="single" w:color="auto" w:sz="6" w:space="0"/>
              <w:bottom w:val="single" w:color="auto" w:sz="8" w:space="0"/>
              <w:right w:val="single" w:color="auto" w:sz="4" w:space="0"/>
            </w:tcBorders>
            <w:vAlign w:val="center"/>
          </w:tcPr>
          <w:p>
            <w:pPr>
              <w:widowControl/>
              <w:jc w:val="left"/>
              <w:rPr>
                <w:rFonts w:ascii="黑体" w:hAnsi="宋体" w:eastAsia="黑体" w:cs="宋体"/>
                <w:kern w:val="0"/>
                <w:sz w:val="24"/>
              </w:rPr>
            </w:pPr>
          </w:p>
        </w:tc>
        <w:tc>
          <w:tcPr>
            <w:tcW w:w="2552" w:type="dxa"/>
            <w:tcBorders>
              <w:left w:val="single" w:color="auto" w:sz="4" w:space="0"/>
            </w:tcBorders>
            <w:vAlign w:val="center"/>
          </w:tcPr>
          <w:p>
            <w:pPr>
              <w:widowControl/>
              <w:jc w:val="left"/>
              <w:rPr>
                <w:rFonts w:ascii="黑体" w:hAnsi="宋体" w:eastAsia="黑体" w:cs="宋体"/>
                <w:kern w:val="0"/>
                <w:sz w:val="24"/>
              </w:rPr>
            </w:pPr>
          </w:p>
        </w:tc>
        <w:tc>
          <w:tcPr>
            <w:tcW w:w="567" w:type="dxa"/>
            <w:vAlign w:val="center"/>
          </w:tcPr>
          <w:p>
            <w:pPr>
              <w:widowControl/>
              <w:jc w:val="center"/>
              <w:rPr>
                <w:rFonts w:ascii="黑体" w:hAnsi="宋体" w:eastAsia="黑体" w:cs="宋体"/>
                <w:kern w:val="0"/>
                <w:sz w:val="24"/>
              </w:rPr>
            </w:pPr>
          </w:p>
        </w:tc>
        <w:tc>
          <w:tcPr>
            <w:tcW w:w="850" w:type="dxa"/>
            <w:vAlign w:val="center"/>
          </w:tcPr>
          <w:p>
            <w:pPr>
              <w:widowControl/>
              <w:jc w:val="center"/>
              <w:rPr>
                <w:rFonts w:ascii="黑体" w:hAnsi="宋体" w:eastAsia="黑体" w:cs="宋体"/>
                <w:kern w:val="0"/>
                <w:sz w:val="24"/>
              </w:rPr>
            </w:pPr>
          </w:p>
        </w:tc>
        <w:tc>
          <w:tcPr>
            <w:tcW w:w="851" w:type="dxa"/>
            <w:vAlign w:val="center"/>
          </w:tcPr>
          <w:p>
            <w:pPr>
              <w:widowControl/>
              <w:jc w:val="center"/>
              <w:rPr>
                <w:rFonts w:ascii="黑体" w:hAnsi="宋体" w:eastAsia="黑体" w:cs="宋体"/>
                <w:kern w:val="0"/>
                <w:sz w:val="24"/>
              </w:rPr>
            </w:pPr>
          </w:p>
        </w:tc>
      </w:tr>
    </w:tbl>
    <w:p/>
    <w:p>
      <w:pPr>
        <w:adjustRightInd w:val="0"/>
        <w:snapToGrid w:val="0"/>
        <w:spacing w:line="360" w:lineRule="auto"/>
        <w:jc w:val="left"/>
      </w:pPr>
      <w:bookmarkStart w:id="88" w:name="_GoBack"/>
      <w:bookmarkEnd w:id="88"/>
    </w:p>
    <w:p>
      <w:pPr>
        <w:adjustRightInd w:val="0"/>
        <w:snapToGrid w:val="0"/>
        <w:spacing w:line="360" w:lineRule="auto"/>
        <w:jc w:val="left"/>
      </w:pPr>
      <w:r>
        <w:br w:type="page"/>
      </w:r>
    </w:p>
    <w:p/>
    <w:p/>
    <w:p/>
    <w:p/>
    <w:p/>
    <w:p/>
    <w:p/>
    <w:p/>
    <w:p/>
    <w:p/>
    <w:p/>
    <w:p/>
    <w:p/>
    <w:p/>
    <w:p/>
    <w:p/>
    <w:p/>
    <w:p/>
    <w:p/>
    <w:p/>
    <w:p/>
    <w:p/>
    <w:p/>
    <w:p/>
    <w:p/>
    <w:p/>
    <w:p/>
    <w:p/>
    <w:p/>
    <w:p/>
    <w:p/>
    <w:p/>
    <w:p/>
    <w:p/>
    <w:p/>
    <w:p/>
    <w:sectPr>
      <w:pgSz w:w="11906" w:h="16838"/>
      <w:pgMar w:top="1361" w:right="1361"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Wingdings 2">
    <w:panose1 w:val="05020102010507070707"/>
    <w:charset w:val="02"/>
    <w:family w:val="roman"/>
    <w:pitch w:val="default"/>
    <w:sig w:usb0="00000000" w:usb1="00000000" w:usb2="00000000" w:usb3="00000000" w:csb0="80000000" w:csb1="00000000"/>
  </w:font>
  <w:font w:name="MS PGothic">
    <w:panose1 w:val="020B0600070205080204"/>
    <w:charset w:val="80"/>
    <w:family w:val="swiss"/>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SJQY">
    <w:altName w:val="宋体"/>
    <w:panose1 w:val="02010600030101010101"/>
    <w:charset w:val="86"/>
    <w:family w:val="auto"/>
    <w:pitch w:val="default"/>
    <w:sig w:usb0="00000000" w:usb1="00000000" w:usb2="00000000" w:usb3="00000000" w:csb0="00040001" w:csb1="00000000"/>
  </w:font>
  <w:font w:name="SystemDefaultEUDCFont">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114C16"/>
    <w:multiLevelType w:val="singleLevel"/>
    <w:tmpl w:val="54114C16"/>
    <w:lvl w:ilvl="0" w:tentative="0">
      <w:start w:val="1"/>
      <w:numFmt w:val="decimal"/>
      <w:suff w:val="nothing"/>
      <w:lvlText w:val="%1．"/>
      <w:lvlJc w:val="left"/>
      <w:pPr>
        <w:ind w:left="0" w:firstLine="400"/>
      </w:pPr>
      <w:rPr>
        <w:rFonts w:hint="default"/>
      </w:rPr>
    </w:lvl>
  </w:abstractNum>
  <w:abstractNum w:abstractNumId="1">
    <w:nsid w:val="5477244B"/>
    <w:multiLevelType w:val="singleLevel"/>
    <w:tmpl w:val="5477244B"/>
    <w:lvl w:ilvl="0" w:tentative="0">
      <w:start w:val="1"/>
      <w:numFmt w:val="decimal"/>
      <w:suff w:val="nothing"/>
      <w:lvlText w:val="（%1）"/>
      <w:lvlJc w:val="left"/>
    </w:lvl>
  </w:abstractNum>
  <w:abstractNum w:abstractNumId="2">
    <w:nsid w:val="58EC4FBF"/>
    <w:multiLevelType w:val="singleLevel"/>
    <w:tmpl w:val="58EC4FBF"/>
    <w:lvl w:ilvl="0" w:tentative="0">
      <w:start w:val="5"/>
      <w:numFmt w:val="decimal"/>
      <w:suff w:val="space"/>
      <w:lvlText w:val="%1."/>
      <w:lvlJc w:val="left"/>
    </w:lvl>
  </w:abstractNum>
  <w:abstractNum w:abstractNumId="3">
    <w:nsid w:val="58EC71EB"/>
    <w:multiLevelType w:val="singleLevel"/>
    <w:tmpl w:val="58EC71EB"/>
    <w:lvl w:ilvl="0" w:tentative="0">
      <w:start w:val="7"/>
      <w:numFmt w:val="chineseCounting"/>
      <w:suff w:val="nothing"/>
      <w:lvlText w:val="%1、"/>
      <w:lvlJc w:val="left"/>
    </w:lvl>
  </w:abstractNum>
  <w:abstractNum w:abstractNumId="4">
    <w:nsid w:val="58EDD749"/>
    <w:multiLevelType w:val="singleLevel"/>
    <w:tmpl w:val="58EDD749"/>
    <w:lvl w:ilvl="0" w:tentative="0">
      <w:start w:val="1"/>
      <w:numFmt w:val="decimal"/>
      <w:suff w:val="nothing"/>
      <w:lvlText w:val="（%1）"/>
      <w:lvlJc w:val="left"/>
    </w:lvl>
  </w:abstractNum>
  <w:abstractNum w:abstractNumId="5">
    <w:nsid w:val="58EDDC6C"/>
    <w:multiLevelType w:val="singleLevel"/>
    <w:tmpl w:val="58EDDC6C"/>
    <w:lvl w:ilvl="0" w:tentative="0">
      <w:start w:val="1"/>
      <w:numFmt w:val="lowerLetter"/>
      <w:suff w:val="nothing"/>
      <w:lvlText w:val="%1、"/>
      <w:lvlJc w:val="left"/>
    </w:lvl>
  </w:abstractNum>
  <w:abstractNum w:abstractNumId="6">
    <w:nsid w:val="58EDDD31"/>
    <w:multiLevelType w:val="singleLevel"/>
    <w:tmpl w:val="58EDDD31"/>
    <w:lvl w:ilvl="0" w:tentative="0">
      <w:start w:val="2"/>
      <w:numFmt w:val="chineseCounting"/>
      <w:suff w:val="nothing"/>
      <w:lvlText w:val="%1、"/>
      <w:lvlJc w:val="left"/>
    </w:lvl>
  </w:abstractNum>
  <w:abstractNum w:abstractNumId="7">
    <w:nsid w:val="58EDDF76"/>
    <w:multiLevelType w:val="singleLevel"/>
    <w:tmpl w:val="58EDDF76"/>
    <w:lvl w:ilvl="0" w:tentative="0">
      <w:start w:val="3"/>
      <w:numFmt w:val="decimal"/>
      <w:suff w:val="nothing"/>
      <w:lvlText w:val="（%1）"/>
      <w:lvlJc w:val="left"/>
    </w:lvl>
  </w:abstractNum>
  <w:num w:numId="1">
    <w:abstractNumId w:val="0"/>
  </w:num>
  <w:num w:numId="2">
    <w:abstractNumId w:val="1"/>
  </w:num>
  <w:num w:numId="3">
    <w:abstractNumId w:val="6"/>
  </w:num>
  <w:num w:numId="4">
    <w:abstractNumId w:val="2"/>
  </w:num>
  <w:num w:numId="5">
    <w:abstractNumId w:val="3"/>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02D"/>
    <w:rsid w:val="00003282"/>
    <w:rsid w:val="00003431"/>
    <w:rsid w:val="0001112A"/>
    <w:rsid w:val="000216B0"/>
    <w:rsid w:val="00032BDA"/>
    <w:rsid w:val="00067A2A"/>
    <w:rsid w:val="00093BB1"/>
    <w:rsid w:val="000B0872"/>
    <w:rsid w:val="000C528D"/>
    <w:rsid w:val="000D0FF2"/>
    <w:rsid w:val="000D36FE"/>
    <w:rsid w:val="000D38E0"/>
    <w:rsid w:val="000E37C8"/>
    <w:rsid w:val="001101B5"/>
    <w:rsid w:val="001427CA"/>
    <w:rsid w:val="0016631B"/>
    <w:rsid w:val="00166F23"/>
    <w:rsid w:val="001701E7"/>
    <w:rsid w:val="001726B0"/>
    <w:rsid w:val="00175CC9"/>
    <w:rsid w:val="00175D2A"/>
    <w:rsid w:val="00177691"/>
    <w:rsid w:val="00180F3A"/>
    <w:rsid w:val="001A4DD5"/>
    <w:rsid w:val="001D72F7"/>
    <w:rsid w:val="001E3D8C"/>
    <w:rsid w:val="001F3B9B"/>
    <w:rsid w:val="001F3C74"/>
    <w:rsid w:val="00211F86"/>
    <w:rsid w:val="00225FDE"/>
    <w:rsid w:val="00227E1A"/>
    <w:rsid w:val="00230675"/>
    <w:rsid w:val="00232691"/>
    <w:rsid w:val="00240CB1"/>
    <w:rsid w:val="002441AA"/>
    <w:rsid w:val="00251167"/>
    <w:rsid w:val="00260E35"/>
    <w:rsid w:val="002623FA"/>
    <w:rsid w:val="00270646"/>
    <w:rsid w:val="00283282"/>
    <w:rsid w:val="002B6145"/>
    <w:rsid w:val="002D2ABB"/>
    <w:rsid w:val="002D7CBE"/>
    <w:rsid w:val="002E5C6A"/>
    <w:rsid w:val="002F5991"/>
    <w:rsid w:val="003309C4"/>
    <w:rsid w:val="00350E3F"/>
    <w:rsid w:val="00351CB6"/>
    <w:rsid w:val="00352EF5"/>
    <w:rsid w:val="00366546"/>
    <w:rsid w:val="003714A0"/>
    <w:rsid w:val="00381D85"/>
    <w:rsid w:val="00387717"/>
    <w:rsid w:val="00397A14"/>
    <w:rsid w:val="003C1007"/>
    <w:rsid w:val="003D2244"/>
    <w:rsid w:val="00406C0A"/>
    <w:rsid w:val="004108B6"/>
    <w:rsid w:val="004122B4"/>
    <w:rsid w:val="00433E2C"/>
    <w:rsid w:val="004360C6"/>
    <w:rsid w:val="00477129"/>
    <w:rsid w:val="004A0E64"/>
    <w:rsid w:val="004A5C25"/>
    <w:rsid w:val="004B0D1B"/>
    <w:rsid w:val="004B4AE0"/>
    <w:rsid w:val="004B719F"/>
    <w:rsid w:val="004F082F"/>
    <w:rsid w:val="004F199F"/>
    <w:rsid w:val="00525A66"/>
    <w:rsid w:val="005379A3"/>
    <w:rsid w:val="00542A5C"/>
    <w:rsid w:val="00544995"/>
    <w:rsid w:val="00557381"/>
    <w:rsid w:val="00585FDF"/>
    <w:rsid w:val="00587793"/>
    <w:rsid w:val="005B0C04"/>
    <w:rsid w:val="005B4F7E"/>
    <w:rsid w:val="005B6194"/>
    <w:rsid w:val="005B7EAF"/>
    <w:rsid w:val="005E02B2"/>
    <w:rsid w:val="0060602D"/>
    <w:rsid w:val="00610A43"/>
    <w:rsid w:val="0062010A"/>
    <w:rsid w:val="006271F0"/>
    <w:rsid w:val="00637D6A"/>
    <w:rsid w:val="006526FA"/>
    <w:rsid w:val="00664FF7"/>
    <w:rsid w:val="00684F1B"/>
    <w:rsid w:val="00694BD7"/>
    <w:rsid w:val="006B3F98"/>
    <w:rsid w:val="006B651E"/>
    <w:rsid w:val="006B7964"/>
    <w:rsid w:val="006C2BF8"/>
    <w:rsid w:val="006D131D"/>
    <w:rsid w:val="006D7DB3"/>
    <w:rsid w:val="006F5119"/>
    <w:rsid w:val="00704A37"/>
    <w:rsid w:val="00712C4E"/>
    <w:rsid w:val="00745914"/>
    <w:rsid w:val="00757CA8"/>
    <w:rsid w:val="00772576"/>
    <w:rsid w:val="00781909"/>
    <w:rsid w:val="007872EF"/>
    <w:rsid w:val="007A5D94"/>
    <w:rsid w:val="007E177D"/>
    <w:rsid w:val="007E3E08"/>
    <w:rsid w:val="0082579B"/>
    <w:rsid w:val="0086287F"/>
    <w:rsid w:val="00891C50"/>
    <w:rsid w:val="008940EC"/>
    <w:rsid w:val="008A2E5C"/>
    <w:rsid w:val="008B5C0F"/>
    <w:rsid w:val="008B7D80"/>
    <w:rsid w:val="008C32B6"/>
    <w:rsid w:val="008E2700"/>
    <w:rsid w:val="008F556B"/>
    <w:rsid w:val="009047B7"/>
    <w:rsid w:val="00906093"/>
    <w:rsid w:val="0094205D"/>
    <w:rsid w:val="009620CE"/>
    <w:rsid w:val="0098079F"/>
    <w:rsid w:val="009818FC"/>
    <w:rsid w:val="00997535"/>
    <w:rsid w:val="009A28DF"/>
    <w:rsid w:val="009A705E"/>
    <w:rsid w:val="009B4714"/>
    <w:rsid w:val="009D4445"/>
    <w:rsid w:val="00A02D9F"/>
    <w:rsid w:val="00A04E61"/>
    <w:rsid w:val="00A16AAF"/>
    <w:rsid w:val="00A325E5"/>
    <w:rsid w:val="00A35BCA"/>
    <w:rsid w:val="00A4046A"/>
    <w:rsid w:val="00A546BA"/>
    <w:rsid w:val="00A67DEF"/>
    <w:rsid w:val="00AB2714"/>
    <w:rsid w:val="00AC7767"/>
    <w:rsid w:val="00B01774"/>
    <w:rsid w:val="00B4224A"/>
    <w:rsid w:val="00B80C44"/>
    <w:rsid w:val="00B9558D"/>
    <w:rsid w:val="00B96364"/>
    <w:rsid w:val="00BA7B66"/>
    <w:rsid w:val="00BB027D"/>
    <w:rsid w:val="00BB108E"/>
    <w:rsid w:val="00BB60ED"/>
    <w:rsid w:val="00BD2E29"/>
    <w:rsid w:val="00BD76D8"/>
    <w:rsid w:val="00BE2B8D"/>
    <w:rsid w:val="00BE37A6"/>
    <w:rsid w:val="00C14899"/>
    <w:rsid w:val="00C332BA"/>
    <w:rsid w:val="00C56812"/>
    <w:rsid w:val="00C623EC"/>
    <w:rsid w:val="00C649DA"/>
    <w:rsid w:val="00CB3F07"/>
    <w:rsid w:val="00CD748D"/>
    <w:rsid w:val="00CE2242"/>
    <w:rsid w:val="00D07063"/>
    <w:rsid w:val="00D229C5"/>
    <w:rsid w:val="00D239A2"/>
    <w:rsid w:val="00D542AF"/>
    <w:rsid w:val="00D946F4"/>
    <w:rsid w:val="00D965C9"/>
    <w:rsid w:val="00DD2A28"/>
    <w:rsid w:val="00DE4933"/>
    <w:rsid w:val="00DE5347"/>
    <w:rsid w:val="00E203BB"/>
    <w:rsid w:val="00E35007"/>
    <w:rsid w:val="00E362D8"/>
    <w:rsid w:val="00E5054B"/>
    <w:rsid w:val="00E60890"/>
    <w:rsid w:val="00E63EB9"/>
    <w:rsid w:val="00E6712E"/>
    <w:rsid w:val="00E6771C"/>
    <w:rsid w:val="00E74E6F"/>
    <w:rsid w:val="00EA22F6"/>
    <w:rsid w:val="00EA6795"/>
    <w:rsid w:val="00ED66A7"/>
    <w:rsid w:val="00EF3D22"/>
    <w:rsid w:val="00F06A16"/>
    <w:rsid w:val="00F11C8A"/>
    <w:rsid w:val="00F14DDB"/>
    <w:rsid w:val="00F36E60"/>
    <w:rsid w:val="00F5642C"/>
    <w:rsid w:val="00F8320B"/>
    <w:rsid w:val="00FA6A4E"/>
    <w:rsid w:val="00FB2141"/>
    <w:rsid w:val="00FD733F"/>
    <w:rsid w:val="01A13D50"/>
    <w:rsid w:val="02A276E1"/>
    <w:rsid w:val="037576B9"/>
    <w:rsid w:val="03AC132B"/>
    <w:rsid w:val="05353298"/>
    <w:rsid w:val="0592672F"/>
    <w:rsid w:val="05FC3BE0"/>
    <w:rsid w:val="06557AF2"/>
    <w:rsid w:val="078E13E2"/>
    <w:rsid w:val="07D25D65"/>
    <w:rsid w:val="081E4B5F"/>
    <w:rsid w:val="0A980136"/>
    <w:rsid w:val="0AFD7516"/>
    <w:rsid w:val="13EA0AB8"/>
    <w:rsid w:val="13F413C8"/>
    <w:rsid w:val="14166484"/>
    <w:rsid w:val="15B95637"/>
    <w:rsid w:val="177F4A4C"/>
    <w:rsid w:val="18B9039C"/>
    <w:rsid w:val="19501B94"/>
    <w:rsid w:val="1BC4709A"/>
    <w:rsid w:val="1F6B3698"/>
    <w:rsid w:val="1FC475AA"/>
    <w:rsid w:val="24654D0B"/>
    <w:rsid w:val="27310A5B"/>
    <w:rsid w:val="2A9D64F9"/>
    <w:rsid w:val="2AE311EC"/>
    <w:rsid w:val="2AE568ED"/>
    <w:rsid w:val="2D740220"/>
    <w:rsid w:val="2DD65ECD"/>
    <w:rsid w:val="2F571BFA"/>
    <w:rsid w:val="31802B16"/>
    <w:rsid w:val="32D457B9"/>
    <w:rsid w:val="35227D0D"/>
    <w:rsid w:val="36D00EFD"/>
    <w:rsid w:val="393F1F7B"/>
    <w:rsid w:val="3C0D3013"/>
    <w:rsid w:val="3CA75575"/>
    <w:rsid w:val="3D860681"/>
    <w:rsid w:val="4135208B"/>
    <w:rsid w:val="42FD3BF5"/>
    <w:rsid w:val="4304684F"/>
    <w:rsid w:val="435D1690"/>
    <w:rsid w:val="4361391A"/>
    <w:rsid w:val="44B9194D"/>
    <w:rsid w:val="46A32772"/>
    <w:rsid w:val="47E84295"/>
    <w:rsid w:val="483143C3"/>
    <w:rsid w:val="493375A8"/>
    <w:rsid w:val="49E4194A"/>
    <w:rsid w:val="4AC00978"/>
    <w:rsid w:val="4C947BAF"/>
    <w:rsid w:val="4D2D012D"/>
    <w:rsid w:val="4EF6519A"/>
    <w:rsid w:val="4FA01DB0"/>
    <w:rsid w:val="50A62D8C"/>
    <w:rsid w:val="52153384"/>
    <w:rsid w:val="54110F6D"/>
    <w:rsid w:val="593001D1"/>
    <w:rsid w:val="5D0F69F6"/>
    <w:rsid w:val="5F006EEA"/>
    <w:rsid w:val="5FC47F2C"/>
    <w:rsid w:val="61405B7D"/>
    <w:rsid w:val="625649E2"/>
    <w:rsid w:val="629A41D2"/>
    <w:rsid w:val="63A34823"/>
    <w:rsid w:val="66B4528C"/>
    <w:rsid w:val="67693AB6"/>
    <w:rsid w:val="67822461"/>
    <w:rsid w:val="68534D38"/>
    <w:rsid w:val="69FD6A97"/>
    <w:rsid w:val="6ABE18F9"/>
    <w:rsid w:val="6BB57B4D"/>
    <w:rsid w:val="6D1A398C"/>
    <w:rsid w:val="72D82EF8"/>
    <w:rsid w:val="73264E3D"/>
    <w:rsid w:val="740238DF"/>
    <w:rsid w:val="751A5DF1"/>
    <w:rsid w:val="79EC4C14"/>
    <w:rsid w:val="7BB65505"/>
    <w:rsid w:val="7DCA14E1"/>
    <w:rsid w:val="7F5B0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semiHidden="0" w:name="Normal Indent"/>
    <w:lsdException w:uiPriority="0" w:name="footnote text"/>
    <w:lsdException w:uiPriority="0" w:name="annotation text"/>
    <w:lsdException w:qFormat="1" w:uiPriority="99"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line="576" w:lineRule="auto"/>
      <w:outlineLvl w:val="0"/>
    </w:pPr>
    <w:rPr>
      <w:b/>
      <w:kern w:val="44"/>
      <w:sz w:val="44"/>
    </w:rPr>
  </w:style>
  <w:style w:type="paragraph" w:styleId="3">
    <w:name w:val="heading 2"/>
    <w:basedOn w:val="1"/>
    <w:next w:val="4"/>
    <w:link w:val="39"/>
    <w:unhideWhenUsed/>
    <w:qFormat/>
    <w:uiPriority w:val="9"/>
    <w:pPr>
      <w:keepNext/>
      <w:keepLines/>
      <w:spacing w:line="413" w:lineRule="auto"/>
      <w:outlineLvl w:val="1"/>
    </w:pPr>
    <w:rPr>
      <w:rFonts w:ascii="Arial" w:hAnsi="Arial" w:eastAsia="黑体"/>
      <w:b/>
      <w:sz w:val="32"/>
    </w:rPr>
  </w:style>
  <w:style w:type="paragraph" w:styleId="5">
    <w:name w:val="heading 3"/>
    <w:basedOn w:val="1"/>
    <w:next w:val="1"/>
    <w:link w:val="37"/>
    <w:qFormat/>
    <w:uiPriority w:val="0"/>
    <w:pPr>
      <w:keepNext/>
      <w:keepLines/>
      <w:spacing w:before="260" w:after="260" w:line="600" w:lineRule="exact"/>
      <w:jc w:val="center"/>
      <w:outlineLvl w:val="2"/>
    </w:pPr>
    <w:rPr>
      <w:rFonts w:ascii="Times New Roman" w:hAnsi="Times New Roman" w:eastAsia="仿宋_GB2312"/>
      <w:b/>
      <w:bCs/>
      <w:sz w:val="32"/>
      <w:szCs w:val="32"/>
    </w:rPr>
  </w:style>
  <w:style w:type="character" w:default="1" w:styleId="23">
    <w:name w:val="Default Paragraph Font"/>
    <w:unhideWhenUsed/>
    <w:qFormat/>
    <w:uiPriority w:val="1"/>
  </w:style>
  <w:style w:type="table" w:default="1" w:styleId="25">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uiPriority w:val="0"/>
    <w:pPr>
      <w:ind w:firstLine="420" w:firstLineChars="200"/>
    </w:pPr>
    <w:rPr>
      <w:rFonts w:ascii="Times New Roman" w:hAnsi="Times New Roman"/>
      <w:kern w:val="0"/>
      <w:sz w:val="20"/>
      <w:szCs w:val="20"/>
    </w:rPr>
  </w:style>
  <w:style w:type="paragraph" w:styleId="6">
    <w:name w:val="toc 7"/>
    <w:basedOn w:val="1"/>
    <w:next w:val="1"/>
    <w:unhideWhenUsed/>
    <w:qFormat/>
    <w:uiPriority w:val="39"/>
    <w:pPr>
      <w:ind w:left="2520" w:leftChars="1200"/>
    </w:pPr>
  </w:style>
  <w:style w:type="paragraph" w:styleId="7">
    <w:name w:val="Document Map"/>
    <w:basedOn w:val="1"/>
    <w:link w:val="32"/>
    <w:unhideWhenUsed/>
    <w:qFormat/>
    <w:uiPriority w:val="0"/>
    <w:rPr>
      <w:rFonts w:ascii="宋体"/>
      <w:sz w:val="18"/>
      <w:szCs w:val="18"/>
    </w:rPr>
  </w:style>
  <w:style w:type="paragraph" w:styleId="8">
    <w:name w:val="Body Text"/>
    <w:basedOn w:val="1"/>
    <w:link w:val="36"/>
    <w:unhideWhenUsed/>
    <w:qFormat/>
    <w:uiPriority w:val="99"/>
    <w:pPr>
      <w:spacing w:after="120"/>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ind w:left="840" w:leftChars="400"/>
    </w:pPr>
  </w:style>
  <w:style w:type="paragraph" w:styleId="11">
    <w:name w:val="Plain Text"/>
    <w:basedOn w:val="1"/>
    <w:link w:val="33"/>
    <w:qFormat/>
    <w:uiPriority w:val="0"/>
    <w:rPr>
      <w:rFonts w:ascii="宋体" w:hAnsi="Courier New" w:cs="Courier New"/>
      <w:szCs w:val="21"/>
    </w:rPr>
  </w:style>
  <w:style w:type="paragraph" w:styleId="12">
    <w:name w:val="toc 8"/>
    <w:basedOn w:val="1"/>
    <w:next w:val="1"/>
    <w:unhideWhenUsed/>
    <w:qFormat/>
    <w:uiPriority w:val="39"/>
    <w:pPr>
      <w:ind w:left="2940" w:leftChars="1400"/>
    </w:pPr>
  </w:style>
  <w:style w:type="paragraph" w:styleId="13">
    <w:name w:val="Balloon Text"/>
    <w:basedOn w:val="1"/>
    <w:link w:val="35"/>
    <w:unhideWhenUsed/>
    <w:qFormat/>
    <w:uiPriority w:val="99"/>
    <w:rPr>
      <w:sz w:val="18"/>
      <w:szCs w:val="18"/>
    </w:rPr>
  </w:style>
  <w:style w:type="paragraph" w:styleId="14">
    <w:name w:val="footer"/>
    <w:basedOn w:val="1"/>
    <w:link w:val="31"/>
    <w:unhideWhenUsed/>
    <w:qFormat/>
    <w:uiPriority w:val="0"/>
    <w:pPr>
      <w:tabs>
        <w:tab w:val="center" w:pos="4153"/>
        <w:tab w:val="right" w:pos="8306"/>
      </w:tabs>
      <w:snapToGrid w:val="0"/>
      <w:jc w:val="left"/>
    </w:pPr>
    <w:rPr>
      <w:sz w:val="18"/>
      <w:szCs w:val="18"/>
    </w:rPr>
  </w:style>
  <w:style w:type="paragraph" w:styleId="15">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toc 4"/>
    <w:basedOn w:val="1"/>
    <w:next w:val="1"/>
    <w:unhideWhenUsed/>
    <w:qFormat/>
    <w:uiPriority w:val="39"/>
    <w:pPr>
      <w:ind w:left="1260" w:leftChars="600"/>
    </w:pPr>
  </w:style>
  <w:style w:type="paragraph" w:styleId="18">
    <w:name w:val="Subtitle"/>
    <w:basedOn w:val="1"/>
    <w:next w:val="1"/>
    <w:link w:val="38"/>
    <w:qFormat/>
    <w:uiPriority w:val="11"/>
    <w:pPr>
      <w:spacing w:before="240" w:after="60" w:line="312" w:lineRule="auto"/>
      <w:jc w:val="center"/>
      <w:outlineLvl w:val="1"/>
    </w:pPr>
    <w:rPr>
      <w:rFonts w:ascii="Cambria" w:hAnsi="Cambria"/>
      <w:b/>
      <w:bCs/>
      <w:kern w:val="28"/>
      <w:sz w:val="32"/>
      <w:szCs w:val="32"/>
    </w:rPr>
  </w:style>
  <w:style w:type="paragraph" w:styleId="19">
    <w:name w:val="toc 6"/>
    <w:basedOn w:val="1"/>
    <w:next w:val="1"/>
    <w:unhideWhenUsed/>
    <w:qFormat/>
    <w:uiPriority w:val="39"/>
    <w:pPr>
      <w:ind w:left="2100" w:leftChars="1000"/>
    </w:pPr>
  </w:style>
  <w:style w:type="paragraph" w:styleId="20">
    <w:name w:val="toc 2"/>
    <w:basedOn w:val="1"/>
    <w:next w:val="1"/>
    <w:unhideWhenUsed/>
    <w:qFormat/>
    <w:uiPriority w:val="39"/>
    <w:pPr>
      <w:ind w:left="420" w:leftChars="200"/>
    </w:pPr>
  </w:style>
  <w:style w:type="paragraph" w:styleId="21">
    <w:name w:val="toc 9"/>
    <w:basedOn w:val="1"/>
    <w:next w:val="1"/>
    <w:unhideWhenUsed/>
    <w:qFormat/>
    <w:uiPriority w:val="39"/>
    <w:pPr>
      <w:ind w:left="3360" w:leftChars="1600"/>
    </w:pPr>
  </w:style>
  <w:style w:type="paragraph" w:styleId="22">
    <w:name w:val="Title"/>
    <w:basedOn w:val="1"/>
    <w:next w:val="1"/>
    <w:link w:val="34"/>
    <w:qFormat/>
    <w:uiPriority w:val="10"/>
    <w:pPr>
      <w:spacing w:before="240" w:after="60"/>
      <w:jc w:val="center"/>
      <w:outlineLvl w:val="0"/>
    </w:pPr>
    <w:rPr>
      <w:rFonts w:ascii="Cambria" w:hAnsi="Cambria"/>
      <w:b/>
      <w:bCs/>
      <w:sz w:val="32"/>
      <w:szCs w:val="32"/>
    </w:rPr>
  </w:style>
  <w:style w:type="character" w:styleId="24">
    <w:name w:val="Hyperlink"/>
    <w:basedOn w:val="23"/>
    <w:qFormat/>
    <w:uiPriority w:val="99"/>
    <w:rPr>
      <w:rFonts w:ascii="仿宋_GB2312" w:eastAsia="仿宋_GB2312"/>
      <w:color w:val="000000"/>
      <w:sz w:val="24"/>
      <w:szCs w:val="24"/>
      <w:u w:val="none"/>
    </w:rPr>
  </w:style>
  <w:style w:type="table" w:styleId="26">
    <w:name w:val="Table Grid"/>
    <w:basedOn w:val="2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27">
    <w:name w:val="xl26"/>
    <w:basedOn w:val="1"/>
    <w:qFormat/>
    <w:uiPriority w:val="0"/>
    <w:pPr>
      <w:widowControl/>
      <w:spacing w:before="100" w:beforeAutospacing="1" w:after="100" w:afterAutospacing="1"/>
      <w:jc w:val="center"/>
    </w:pPr>
    <w:rPr>
      <w:rFonts w:hint="eastAsia" w:ascii="仿宋_GB2312" w:hAnsi="宋体" w:eastAsia="仿宋_GB2312"/>
      <w:kern w:val="0"/>
      <w:sz w:val="24"/>
      <w:szCs w:val="24"/>
    </w:rPr>
  </w:style>
  <w:style w:type="paragraph" w:customStyle="1" w:styleId="28">
    <w:name w:val="无缩进"/>
    <w:next w:val="8"/>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29">
    <w:name w:val="彩色列表 - 强调文字颜色 11"/>
    <w:basedOn w:val="1"/>
    <w:qFormat/>
    <w:uiPriority w:val="34"/>
    <w:pPr>
      <w:ind w:firstLine="420" w:firstLineChars="200"/>
    </w:pPr>
  </w:style>
  <w:style w:type="character" w:customStyle="1" w:styleId="30">
    <w:name w:val="页眉 Char"/>
    <w:basedOn w:val="23"/>
    <w:link w:val="15"/>
    <w:semiHidden/>
    <w:qFormat/>
    <w:uiPriority w:val="99"/>
    <w:rPr>
      <w:sz w:val="18"/>
      <w:szCs w:val="18"/>
    </w:rPr>
  </w:style>
  <w:style w:type="character" w:customStyle="1" w:styleId="31">
    <w:name w:val="页脚 Char"/>
    <w:basedOn w:val="23"/>
    <w:link w:val="14"/>
    <w:semiHidden/>
    <w:qFormat/>
    <w:uiPriority w:val="99"/>
    <w:rPr>
      <w:sz w:val="18"/>
      <w:szCs w:val="18"/>
    </w:rPr>
  </w:style>
  <w:style w:type="character" w:customStyle="1" w:styleId="32">
    <w:name w:val="文档结构图 Char"/>
    <w:basedOn w:val="23"/>
    <w:link w:val="7"/>
    <w:qFormat/>
    <w:uiPriority w:val="0"/>
    <w:rPr>
      <w:rFonts w:ascii="宋体" w:eastAsia="宋体"/>
      <w:sz w:val="18"/>
      <w:szCs w:val="18"/>
    </w:rPr>
  </w:style>
  <w:style w:type="character" w:customStyle="1" w:styleId="33">
    <w:name w:val="纯文本 Char"/>
    <w:basedOn w:val="23"/>
    <w:link w:val="11"/>
    <w:qFormat/>
    <w:uiPriority w:val="0"/>
    <w:rPr>
      <w:rFonts w:ascii="宋体" w:hAnsi="Courier New" w:eastAsia="宋体" w:cs="Courier New"/>
      <w:szCs w:val="21"/>
    </w:rPr>
  </w:style>
  <w:style w:type="character" w:customStyle="1" w:styleId="34">
    <w:name w:val="标题 Char"/>
    <w:basedOn w:val="23"/>
    <w:link w:val="22"/>
    <w:qFormat/>
    <w:uiPriority w:val="10"/>
    <w:rPr>
      <w:rFonts w:ascii="Cambria" w:hAnsi="Cambria" w:eastAsia="宋体" w:cs="Times New Roman"/>
      <w:b/>
      <w:bCs/>
      <w:sz w:val="32"/>
      <w:szCs w:val="32"/>
    </w:rPr>
  </w:style>
  <w:style w:type="character" w:customStyle="1" w:styleId="35">
    <w:name w:val="批注框文本 Char"/>
    <w:basedOn w:val="23"/>
    <w:link w:val="13"/>
    <w:semiHidden/>
    <w:qFormat/>
    <w:uiPriority w:val="99"/>
    <w:rPr>
      <w:sz w:val="18"/>
      <w:szCs w:val="18"/>
    </w:rPr>
  </w:style>
  <w:style w:type="character" w:customStyle="1" w:styleId="36">
    <w:name w:val="正文文本 Char"/>
    <w:basedOn w:val="23"/>
    <w:link w:val="8"/>
    <w:semiHidden/>
    <w:qFormat/>
    <w:uiPriority w:val="99"/>
  </w:style>
  <w:style w:type="character" w:customStyle="1" w:styleId="37">
    <w:name w:val="标题 3 Char"/>
    <w:basedOn w:val="23"/>
    <w:link w:val="5"/>
    <w:qFormat/>
    <w:uiPriority w:val="0"/>
    <w:rPr>
      <w:rFonts w:ascii="Times New Roman" w:hAnsi="Times New Roman" w:eastAsia="仿宋_GB2312" w:cs="Times New Roman"/>
      <w:b/>
      <w:bCs/>
      <w:sz w:val="32"/>
      <w:szCs w:val="32"/>
    </w:rPr>
  </w:style>
  <w:style w:type="character" w:customStyle="1" w:styleId="38">
    <w:name w:val="副标题 Char"/>
    <w:basedOn w:val="23"/>
    <w:link w:val="18"/>
    <w:qFormat/>
    <w:uiPriority w:val="11"/>
    <w:rPr>
      <w:rFonts w:ascii="Cambria" w:hAnsi="Cambria"/>
      <w:b/>
      <w:bCs/>
      <w:kern w:val="28"/>
      <w:sz w:val="32"/>
      <w:szCs w:val="32"/>
    </w:rPr>
  </w:style>
  <w:style w:type="character" w:customStyle="1" w:styleId="39">
    <w:name w:val="标题 2 Char"/>
    <w:link w:val="3"/>
    <w:qFormat/>
    <w:uiPriority w:val="0"/>
    <w:rPr>
      <w:rFonts w:ascii="Arial" w:hAnsi="Arial" w:eastAsia="黑体"/>
      <w:b/>
      <w:sz w:val="32"/>
    </w:rPr>
  </w:style>
  <w:style w:type="paragraph" w:customStyle="1" w:styleId="40">
    <w:name w:val="列出段落1"/>
    <w:basedOn w:val="1"/>
    <w:qFormat/>
    <w:uiPriority w:val="34"/>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5936E5-9F4D-4D01-A460-11C9403CB5C6}">
  <ds:schemaRefs/>
</ds:datastoreItem>
</file>

<file path=docProps/app.xml><?xml version="1.0" encoding="utf-8"?>
<Properties xmlns="http://schemas.openxmlformats.org/officeDocument/2006/extended-properties" xmlns:vt="http://schemas.openxmlformats.org/officeDocument/2006/docPropsVTypes">
  <Template>Normal</Template>
  <Company>专购网络信息技术有限公司</Company>
  <Pages>32</Pages>
  <Words>2362</Words>
  <Characters>13465</Characters>
  <Lines>112</Lines>
  <Paragraphs>31</Paragraphs>
  <ScaleCrop>false</ScaleCrop>
  <LinksUpToDate>false</LinksUpToDate>
  <CharactersWithSpaces>15796</CharactersWithSpaces>
  <Application>WPS Office_10.1.0.6382_F1E327BC-269C-435d-A152-05C5408002CA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2015-10-16T08:00:00Z</dcterms:created>
  <dc:creator>Anima</dc:creator>
  <cp:lastModifiedBy>Administrator</cp:lastModifiedBy>
  <cp:lastPrinted>2017-04-12T06:19:00Z</cp:lastPrinted>
  <dcterms:modified xsi:type="dcterms:W3CDTF">2017-04-14T03:00:01Z</dcterms:modified>
  <dc:title>招 标 文 件</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